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F17BF" w14:textId="6B9A60F7" w:rsidR="727E8617" w:rsidRPr="006C4CE2" w:rsidRDefault="727E8617">
      <w:r w:rsidRPr="006C4CE2">
        <w:rPr>
          <w:rFonts w:ascii="Calibri" w:eastAsia="Calibri" w:hAnsi="Calibri" w:cs="Calibri"/>
          <w:b/>
          <w:bCs/>
          <w:i/>
          <w:iCs/>
          <w:color w:val="4472C4" w:themeColor="accent1"/>
          <w:sz w:val="28"/>
          <w:szCs w:val="28"/>
        </w:rPr>
        <w:t>Article</w:t>
      </w:r>
      <w:r w:rsidRPr="006C4CE2">
        <w:rPr>
          <w:rFonts w:ascii="Calibri" w:eastAsia="Calibri" w:hAnsi="Calibri" w:cs="Calibri"/>
          <w:color w:val="4472C4" w:themeColor="accent1"/>
          <w:sz w:val="28"/>
          <w:szCs w:val="28"/>
        </w:rPr>
        <w:t xml:space="preserve"> </w:t>
      </w:r>
    </w:p>
    <w:p w14:paraId="1B21C56E" w14:textId="77777777" w:rsidR="007077BB" w:rsidRDefault="007077BB" w:rsidP="5590ED66">
      <w:pPr>
        <w:rPr>
          <w:rStyle w:val="y2iqfc"/>
          <w:rFonts w:ascii="Abadi Extra Light" w:eastAsia="Times New Roman" w:hAnsi="Abadi Extra Light" w:cs="Calibri Light"/>
          <w:color w:val="202124"/>
          <w:sz w:val="42"/>
          <w:szCs w:val="42"/>
          <w:lang w:val="en"/>
        </w:rPr>
      </w:pPr>
      <w:r w:rsidRPr="007077BB">
        <w:rPr>
          <w:rStyle w:val="y2iqfc"/>
          <w:rFonts w:ascii="Abadi Extra Light" w:eastAsia="Times New Roman" w:hAnsi="Abadi Extra Light" w:cs="Calibri Light"/>
          <w:color w:val="202124"/>
          <w:sz w:val="42"/>
          <w:szCs w:val="42"/>
          <w:lang w:val="en"/>
        </w:rPr>
        <w:t>Data-Driven Assessment on the Brazilian Regulatory Framework for Biodiversity Access and Benefit Sharing (ABS)</w:t>
      </w:r>
    </w:p>
    <w:p w14:paraId="4503C6B8" w14:textId="0E31B969" w:rsidR="00C439FE" w:rsidRPr="007077BB" w:rsidRDefault="00C439FE" w:rsidP="5590ED66">
      <w:pPr>
        <w:rPr>
          <w:rFonts w:ascii="Calibri" w:eastAsia="Calibri" w:hAnsi="Calibri" w:cs="Calibri"/>
          <w:b/>
          <w:bCs/>
          <w:color w:val="4471C4"/>
          <w:sz w:val="24"/>
          <w:szCs w:val="24"/>
          <w:lang w:val="pt-BR"/>
        </w:rPr>
      </w:pPr>
      <w:r w:rsidRPr="007077BB">
        <w:rPr>
          <w:rFonts w:ascii="Calibri" w:eastAsia="Calibri" w:hAnsi="Calibri" w:cs="Calibri"/>
          <w:b/>
          <w:bCs/>
          <w:sz w:val="24"/>
          <w:szCs w:val="24"/>
          <w:lang w:val="pt-BR"/>
        </w:rPr>
        <w:t>Diana Jungman</w:t>
      </w:r>
      <w:r w:rsidRPr="007077BB">
        <w:rPr>
          <w:rFonts w:ascii="Calibri" w:eastAsia="Calibri" w:hAnsi="Calibri" w:cs="Calibri"/>
          <w:b/>
          <w:bCs/>
          <w:sz w:val="24"/>
          <w:szCs w:val="24"/>
          <w:vertAlign w:val="superscript"/>
          <w:lang w:val="pt-BR"/>
        </w:rPr>
        <w:t>1</w:t>
      </w:r>
      <w:r w:rsidRPr="007077BB">
        <w:rPr>
          <w:rFonts w:ascii="Calibri" w:eastAsia="Calibri" w:hAnsi="Calibri" w:cs="Calibri"/>
          <w:b/>
          <w:bCs/>
          <w:sz w:val="24"/>
          <w:szCs w:val="24"/>
          <w:lang w:val="pt-BR"/>
        </w:rPr>
        <w:t>*</w:t>
      </w:r>
      <w:r w:rsidRPr="007077BB">
        <w:rPr>
          <w:rFonts w:ascii="Calibri" w:eastAsia="Calibri" w:hAnsi="Calibri" w:cs="Calibri"/>
          <w:b/>
          <w:bCs/>
          <w:sz w:val="24"/>
          <w:szCs w:val="24"/>
          <w:vertAlign w:val="superscript"/>
          <w:lang w:val="pt-BR"/>
        </w:rPr>
        <w:t xml:space="preserve"> </w:t>
      </w:r>
      <w:r w:rsidRPr="007077BB">
        <w:rPr>
          <w:rFonts w:ascii="Calibri" w:eastAsia="Calibri" w:hAnsi="Calibri" w:cs="Calibri"/>
          <w:b/>
          <w:bCs/>
          <w:sz w:val="24"/>
          <w:szCs w:val="24"/>
          <w:lang w:val="pt-BR"/>
        </w:rPr>
        <w:t xml:space="preserve">and Jorge de Paula Costa </w:t>
      </w:r>
      <w:r w:rsidR="003374E7">
        <w:rPr>
          <w:rFonts w:ascii="Calibri" w:eastAsia="Calibri" w:hAnsi="Calibri" w:cs="Calibri"/>
          <w:b/>
          <w:bCs/>
          <w:sz w:val="24"/>
          <w:szCs w:val="24"/>
          <w:lang w:val="pt-BR"/>
        </w:rPr>
        <w:t>A</w:t>
      </w:r>
      <w:r w:rsidRPr="007077BB">
        <w:rPr>
          <w:rFonts w:ascii="Calibri" w:eastAsia="Calibri" w:hAnsi="Calibri" w:cs="Calibri"/>
          <w:b/>
          <w:bCs/>
          <w:sz w:val="24"/>
          <w:szCs w:val="24"/>
          <w:lang w:val="pt-BR"/>
        </w:rPr>
        <w:t>vila</w:t>
      </w:r>
      <w:r w:rsidRPr="007077BB">
        <w:rPr>
          <w:rFonts w:ascii="Calibri" w:eastAsia="Calibri" w:hAnsi="Calibri" w:cs="Calibri"/>
          <w:b/>
          <w:bCs/>
          <w:sz w:val="24"/>
          <w:szCs w:val="24"/>
          <w:vertAlign w:val="superscript"/>
          <w:lang w:val="pt-BR"/>
        </w:rPr>
        <w:t>2</w:t>
      </w:r>
      <w:r w:rsidR="00881F0C">
        <w:rPr>
          <w:rFonts w:ascii="Calibri" w:eastAsia="Calibri" w:hAnsi="Calibri" w:cs="Calibri"/>
          <w:b/>
          <w:bCs/>
          <w:sz w:val="24"/>
          <w:szCs w:val="24"/>
          <w:vertAlign w:val="superscript"/>
          <w:lang w:val="pt-BR"/>
        </w:rPr>
        <w:t>*</w:t>
      </w:r>
    </w:p>
    <w:p w14:paraId="43CFD2F7" w14:textId="77777777" w:rsidR="00C439FE" w:rsidRPr="007077BB" w:rsidRDefault="00C439FE" w:rsidP="00383952">
      <w:pPr>
        <w:spacing w:after="0"/>
        <w:rPr>
          <w:rFonts w:ascii="Calibri" w:eastAsia="Calibri" w:hAnsi="Calibri" w:cs="Calibri"/>
          <w:b/>
          <w:bCs/>
          <w:lang w:val="pt-BR"/>
        </w:rPr>
      </w:pPr>
    </w:p>
    <w:p w14:paraId="515138E8" w14:textId="55E57435" w:rsidR="727E8617" w:rsidRPr="008910CE" w:rsidRDefault="00C439FE" w:rsidP="00C439FE">
      <w:pPr>
        <w:spacing w:after="0"/>
        <w:ind w:left="720"/>
        <w:rPr>
          <w:rFonts w:ascii="Calibri" w:eastAsia="Calibri" w:hAnsi="Calibri" w:cs="Calibri"/>
          <w:lang w:val="pt-BR"/>
        </w:rPr>
      </w:pPr>
      <w:proofErr w:type="gramStart"/>
      <w:r w:rsidRPr="00C439FE">
        <w:rPr>
          <w:rFonts w:ascii="Calibri" w:eastAsia="Calibri" w:hAnsi="Calibri" w:cs="Calibri"/>
          <w:b/>
          <w:bCs/>
          <w:vertAlign w:val="superscript"/>
          <w:lang w:val="pt-BR"/>
        </w:rPr>
        <w:t>1</w:t>
      </w:r>
      <w:r w:rsidRPr="00C439FE">
        <w:rPr>
          <w:rFonts w:ascii="Calibri" w:eastAsia="Calibri" w:hAnsi="Calibri" w:cs="Calibri"/>
          <w:b/>
          <w:bCs/>
          <w:lang w:val="pt-BR"/>
        </w:rPr>
        <w:t xml:space="preserve">  </w:t>
      </w:r>
      <w:r w:rsidR="5590ED66" w:rsidRPr="006C4CE2">
        <w:rPr>
          <w:rFonts w:ascii="Calibri" w:eastAsia="Calibri" w:hAnsi="Calibri" w:cs="Calibri"/>
          <w:lang w:val="pt-BR"/>
        </w:rPr>
        <w:t>14</w:t>
      </w:r>
      <w:proofErr w:type="gramEnd"/>
      <w:r w:rsidR="5590ED66" w:rsidRPr="006C4CE2">
        <w:rPr>
          <w:rFonts w:ascii="Calibri" w:eastAsia="Calibri" w:hAnsi="Calibri" w:cs="Calibri"/>
          <w:lang w:val="pt-BR"/>
        </w:rPr>
        <w:t xml:space="preserve">Bisness Consulting Ltda., </w:t>
      </w:r>
      <w:proofErr w:type="spellStart"/>
      <w:r w:rsidR="5590ED66" w:rsidRPr="006C4CE2">
        <w:rPr>
          <w:rFonts w:ascii="Calibri" w:eastAsia="Calibri" w:hAnsi="Calibri" w:cs="Calibri"/>
          <w:sz w:val="24"/>
          <w:szCs w:val="24"/>
          <w:lang w:val="pt-BR"/>
        </w:rPr>
        <w:t>Brasilia</w:t>
      </w:r>
      <w:proofErr w:type="spellEnd"/>
      <w:r w:rsidR="00383952">
        <w:rPr>
          <w:rFonts w:ascii="Calibri" w:eastAsia="Calibri" w:hAnsi="Calibri" w:cs="Calibri"/>
          <w:sz w:val="24"/>
          <w:szCs w:val="24"/>
          <w:lang w:val="pt-BR"/>
        </w:rPr>
        <w:t>,</w:t>
      </w:r>
      <w:r w:rsidR="5590ED66" w:rsidRPr="006C4CE2">
        <w:rPr>
          <w:rFonts w:ascii="Calibri" w:eastAsia="Calibri" w:hAnsi="Calibri" w:cs="Calibri"/>
          <w:sz w:val="24"/>
          <w:szCs w:val="24"/>
          <w:lang w:val="pt-BR"/>
        </w:rPr>
        <w:t xml:space="preserve"> Brazil</w:t>
      </w:r>
      <w:r>
        <w:rPr>
          <w:rFonts w:ascii="Calibri" w:eastAsia="Calibri" w:hAnsi="Calibri" w:cs="Calibri"/>
          <w:sz w:val="24"/>
          <w:szCs w:val="24"/>
          <w:lang w:val="pt-BR"/>
        </w:rPr>
        <w:t>,</w:t>
      </w:r>
      <w:r w:rsidR="00383952">
        <w:rPr>
          <w:rFonts w:ascii="Calibri" w:eastAsia="Calibri" w:hAnsi="Calibri" w:cs="Calibri"/>
          <w:sz w:val="24"/>
          <w:szCs w:val="24"/>
          <w:lang w:val="pt-BR"/>
        </w:rPr>
        <w:t xml:space="preserve"> </w:t>
      </w:r>
      <w:r w:rsidR="00383952" w:rsidRPr="00C439FE">
        <w:rPr>
          <w:rStyle w:val="normaltextrun"/>
          <w:rFonts w:ascii="Calibri" w:hAnsi="Calibri" w:cs="Calibri"/>
          <w:color w:val="000000"/>
          <w:bdr w:val="none" w:sz="0" w:space="0" w:color="auto" w:frame="1"/>
          <w:lang w:val="pt-BR"/>
        </w:rPr>
        <w:t>0000-0002-7247-6740</w:t>
      </w:r>
      <w:r w:rsidR="004B795F">
        <w:rPr>
          <w:rStyle w:val="normaltextrun"/>
          <w:rFonts w:ascii="Calibri" w:hAnsi="Calibri" w:cs="Calibri"/>
          <w:color w:val="000000"/>
          <w:bdr w:val="none" w:sz="0" w:space="0" w:color="auto" w:frame="1"/>
          <w:lang w:val="pt-BR"/>
        </w:rPr>
        <w:t xml:space="preserve">, </w:t>
      </w:r>
      <w:r w:rsidR="004B795F" w:rsidRPr="004B795F">
        <w:rPr>
          <w:rStyle w:val="normaltextrun"/>
          <w:rFonts w:ascii="Calibri" w:hAnsi="Calibri" w:cs="Calibri"/>
          <w:color w:val="000000"/>
          <w:bdr w:val="none" w:sz="0" w:space="0" w:color="auto" w:frame="1"/>
          <w:lang w:val="pt-BR"/>
        </w:rPr>
        <w:t>diana@14bisness.com</w:t>
      </w:r>
      <w:r w:rsidR="004B795F">
        <w:rPr>
          <w:rStyle w:val="normaltextrun"/>
          <w:rFonts w:ascii="Calibri" w:hAnsi="Calibri" w:cs="Calibri"/>
          <w:color w:val="000000"/>
          <w:bdr w:val="none" w:sz="0" w:space="0" w:color="auto" w:frame="1"/>
          <w:lang w:val="pt-BR"/>
        </w:rPr>
        <w:t xml:space="preserve"> </w:t>
      </w:r>
    </w:p>
    <w:p w14:paraId="257815B9" w14:textId="2F15694E" w:rsidR="00D63D21" w:rsidRPr="008910CE" w:rsidRDefault="00C439FE" w:rsidP="00C439FE">
      <w:pPr>
        <w:spacing w:after="0"/>
        <w:ind w:left="720"/>
        <w:rPr>
          <w:rFonts w:ascii="Calibri" w:eastAsia="Calibri" w:hAnsi="Calibri" w:cs="Calibri"/>
          <w:b/>
          <w:bCs/>
          <w:lang w:val="pt-BR"/>
        </w:rPr>
      </w:pPr>
      <w:proofErr w:type="gramStart"/>
      <w:r w:rsidRPr="00C439FE">
        <w:rPr>
          <w:rFonts w:ascii="Calibri" w:eastAsia="Calibri" w:hAnsi="Calibri" w:cs="Calibri"/>
          <w:b/>
          <w:bCs/>
          <w:vertAlign w:val="superscript"/>
          <w:lang w:val="pt-BR"/>
        </w:rPr>
        <w:t xml:space="preserve">2 </w:t>
      </w:r>
      <w:r>
        <w:rPr>
          <w:rFonts w:ascii="Calibri" w:eastAsia="Calibri" w:hAnsi="Calibri" w:cs="Calibri"/>
          <w:b/>
          <w:bCs/>
          <w:vertAlign w:val="superscript"/>
          <w:lang w:val="pt-BR"/>
        </w:rPr>
        <w:t xml:space="preserve"> </w:t>
      </w:r>
      <w:r w:rsidR="48967EC7" w:rsidRPr="008910CE">
        <w:rPr>
          <w:rFonts w:ascii="Calibri" w:eastAsia="Calibri" w:hAnsi="Calibri" w:cs="Calibri"/>
          <w:lang w:val="pt-BR"/>
        </w:rPr>
        <w:t>Federal</w:t>
      </w:r>
      <w:proofErr w:type="gramEnd"/>
      <w:r w:rsidR="48967EC7" w:rsidRPr="008910CE">
        <w:rPr>
          <w:rFonts w:ascii="Calibri" w:eastAsia="Calibri" w:hAnsi="Calibri" w:cs="Calibri"/>
          <w:lang w:val="pt-BR"/>
        </w:rPr>
        <w:t xml:space="preserve"> </w:t>
      </w:r>
      <w:proofErr w:type="spellStart"/>
      <w:r w:rsidR="48967EC7" w:rsidRPr="008910CE">
        <w:rPr>
          <w:rFonts w:ascii="Calibri" w:eastAsia="Calibri" w:hAnsi="Calibri" w:cs="Calibri"/>
          <w:lang w:val="pt-BR"/>
        </w:rPr>
        <w:t>University</w:t>
      </w:r>
      <w:proofErr w:type="spellEnd"/>
      <w:r w:rsidR="48967EC7" w:rsidRPr="008910CE">
        <w:rPr>
          <w:rFonts w:ascii="Calibri" w:eastAsia="Calibri" w:hAnsi="Calibri" w:cs="Calibri"/>
          <w:lang w:val="pt-BR"/>
        </w:rPr>
        <w:t xml:space="preserve"> </w:t>
      </w:r>
      <w:proofErr w:type="spellStart"/>
      <w:r w:rsidR="48967EC7" w:rsidRPr="008910CE">
        <w:rPr>
          <w:rFonts w:ascii="Calibri" w:eastAsia="Calibri" w:hAnsi="Calibri" w:cs="Calibri"/>
          <w:lang w:val="pt-BR"/>
        </w:rPr>
        <w:t>of</w:t>
      </w:r>
      <w:proofErr w:type="spellEnd"/>
      <w:r w:rsidR="48967EC7" w:rsidRPr="008910CE">
        <w:rPr>
          <w:rFonts w:ascii="Calibri" w:eastAsia="Calibri" w:hAnsi="Calibri" w:cs="Calibri"/>
          <w:lang w:val="pt-BR"/>
        </w:rPr>
        <w:t xml:space="preserve"> </w:t>
      </w:r>
      <w:proofErr w:type="spellStart"/>
      <w:r w:rsidR="00886442" w:rsidRPr="008910CE">
        <w:rPr>
          <w:rFonts w:ascii="Calibri" w:eastAsia="Calibri" w:hAnsi="Calibri" w:cs="Calibri"/>
          <w:lang w:val="pt-BR"/>
        </w:rPr>
        <w:t>the</w:t>
      </w:r>
      <w:proofErr w:type="spellEnd"/>
      <w:r w:rsidR="00886442" w:rsidRPr="008910CE">
        <w:rPr>
          <w:rFonts w:ascii="Calibri" w:eastAsia="Calibri" w:hAnsi="Calibri" w:cs="Calibri"/>
          <w:lang w:val="pt-BR"/>
        </w:rPr>
        <w:t xml:space="preserve"> </w:t>
      </w:r>
      <w:proofErr w:type="spellStart"/>
      <w:r w:rsidR="00886442" w:rsidRPr="008910CE">
        <w:rPr>
          <w:rFonts w:ascii="Calibri" w:eastAsia="Calibri" w:hAnsi="Calibri" w:cs="Calibri"/>
          <w:lang w:val="pt-BR"/>
        </w:rPr>
        <w:t>State</w:t>
      </w:r>
      <w:proofErr w:type="spellEnd"/>
      <w:r w:rsidR="00886442" w:rsidRPr="008910CE">
        <w:rPr>
          <w:rFonts w:ascii="Calibri" w:eastAsia="Calibri" w:hAnsi="Calibri" w:cs="Calibri"/>
          <w:lang w:val="pt-BR"/>
        </w:rPr>
        <w:t xml:space="preserve"> </w:t>
      </w:r>
      <w:proofErr w:type="spellStart"/>
      <w:r w:rsidR="00886442" w:rsidRPr="008910CE">
        <w:rPr>
          <w:rFonts w:ascii="Calibri" w:eastAsia="Calibri" w:hAnsi="Calibri" w:cs="Calibri"/>
          <w:lang w:val="pt-BR"/>
        </w:rPr>
        <w:t>of</w:t>
      </w:r>
      <w:proofErr w:type="spellEnd"/>
      <w:r w:rsidR="00886442" w:rsidRPr="008910CE">
        <w:rPr>
          <w:rFonts w:ascii="Calibri" w:eastAsia="Calibri" w:hAnsi="Calibri" w:cs="Calibri"/>
          <w:lang w:val="pt-BR"/>
        </w:rPr>
        <w:t xml:space="preserve"> </w:t>
      </w:r>
      <w:r w:rsidR="48967EC7" w:rsidRPr="008910CE">
        <w:rPr>
          <w:rFonts w:ascii="Calibri" w:eastAsia="Calibri" w:hAnsi="Calibri" w:cs="Calibri"/>
          <w:lang w:val="pt-BR"/>
        </w:rPr>
        <w:t>Rio de Janeiro – U</w:t>
      </w:r>
      <w:r w:rsidR="00886442" w:rsidRPr="008910CE">
        <w:rPr>
          <w:rFonts w:ascii="Calibri" w:eastAsia="Calibri" w:hAnsi="Calibri" w:cs="Calibri"/>
          <w:lang w:val="pt-BR"/>
        </w:rPr>
        <w:t>NIRIO</w:t>
      </w:r>
      <w:r w:rsidR="48967EC7" w:rsidRPr="008910CE">
        <w:rPr>
          <w:rFonts w:ascii="Calibri" w:eastAsia="Calibri" w:hAnsi="Calibri" w:cs="Calibri"/>
          <w:lang w:val="pt-BR"/>
        </w:rPr>
        <w:t>, Rio de Janeiro, Brazil</w:t>
      </w:r>
      <w:r>
        <w:rPr>
          <w:rFonts w:ascii="Calibri" w:eastAsia="Calibri" w:hAnsi="Calibri" w:cs="Calibri"/>
          <w:lang w:val="pt-BR"/>
        </w:rPr>
        <w:t>,</w:t>
      </w:r>
      <w:r w:rsidR="48967EC7" w:rsidRPr="008910CE">
        <w:rPr>
          <w:rFonts w:ascii="Calibri" w:eastAsia="Calibri" w:hAnsi="Calibri" w:cs="Calibri"/>
          <w:b/>
          <w:bCs/>
          <w:lang w:val="pt-BR"/>
        </w:rPr>
        <w:t xml:space="preserve"> </w:t>
      </w:r>
    </w:p>
    <w:p w14:paraId="1AFA034E" w14:textId="70EF4377" w:rsidR="4F520020" w:rsidRPr="004B795F" w:rsidRDefault="008910CE" w:rsidP="00C439FE">
      <w:pPr>
        <w:spacing w:after="0"/>
        <w:ind w:left="720"/>
        <w:rPr>
          <w:rStyle w:val="Hyperlink"/>
          <w:color w:val="auto"/>
          <w:sz w:val="24"/>
          <w:szCs w:val="24"/>
          <w:u w:val="none"/>
        </w:rPr>
      </w:pPr>
      <w:r w:rsidRPr="00C439FE">
        <w:rPr>
          <w:rFonts w:ascii="Calibri" w:eastAsia="Calibri" w:hAnsi="Calibri" w:cs="Calibri"/>
        </w:rPr>
        <w:t>0000-0002-5674-1786</w:t>
      </w:r>
      <w:r w:rsidR="004B795F">
        <w:rPr>
          <w:rFonts w:ascii="Calibri" w:eastAsia="Calibri" w:hAnsi="Calibri" w:cs="Calibri"/>
        </w:rPr>
        <w:t xml:space="preserve">, </w:t>
      </w:r>
      <w:r w:rsidR="004B795F" w:rsidRPr="004B795F">
        <w:rPr>
          <w:rStyle w:val="Hyperlink"/>
          <w:color w:val="auto"/>
          <w:sz w:val="24"/>
          <w:szCs w:val="24"/>
          <w:u w:val="none"/>
        </w:rPr>
        <w:t>jorge.avila@unirio.br</w:t>
      </w:r>
    </w:p>
    <w:p w14:paraId="653EF35F" w14:textId="24A2B794" w:rsidR="00383952" w:rsidRPr="00383952" w:rsidRDefault="00383952" w:rsidP="00C439FE">
      <w:pPr>
        <w:spacing w:line="257" w:lineRule="auto"/>
        <w:ind w:firstLine="720"/>
      </w:pPr>
      <w:r w:rsidRPr="00383952">
        <w:t>*Corresponding author</w:t>
      </w:r>
      <w:r w:rsidR="00881F0C">
        <w:t>s</w:t>
      </w:r>
    </w:p>
    <w:p w14:paraId="5C11221D" w14:textId="77777777" w:rsidR="00383952" w:rsidRPr="00383952" w:rsidRDefault="00383952" w:rsidP="000F4D05">
      <w:pPr>
        <w:spacing w:line="257" w:lineRule="auto"/>
      </w:pPr>
    </w:p>
    <w:p w14:paraId="2E936BE7" w14:textId="16226C5A" w:rsidR="000F4D05" w:rsidRPr="007B2BD4" w:rsidRDefault="54D28F68" w:rsidP="000F4D05">
      <w:pPr>
        <w:spacing w:line="257" w:lineRule="auto"/>
        <w:rPr>
          <w:rFonts w:asciiTheme="majorHAnsi" w:hAnsiTheme="majorHAnsi" w:cstheme="majorHAnsi"/>
          <w:b/>
          <w:bCs/>
          <w:color w:val="0070C0"/>
          <w:sz w:val="28"/>
          <w:szCs w:val="28"/>
        </w:rPr>
      </w:pPr>
      <w:r w:rsidRPr="007B2BD4">
        <w:rPr>
          <w:rFonts w:asciiTheme="majorHAnsi" w:hAnsiTheme="majorHAnsi" w:cstheme="majorHAnsi"/>
          <w:b/>
          <w:bCs/>
          <w:color w:val="0070C0"/>
          <w:sz w:val="28"/>
          <w:szCs w:val="28"/>
        </w:rPr>
        <w:t>Abstract</w:t>
      </w:r>
    </w:p>
    <w:p w14:paraId="12625B88" w14:textId="013E348A" w:rsidR="00841A6A" w:rsidRDefault="00841A6A" w:rsidP="00785B09">
      <w:pPr>
        <w:spacing w:line="257" w:lineRule="auto"/>
      </w:pPr>
      <w:bookmarkStart w:id="0" w:name="_Hlk119430872"/>
      <w:r w:rsidRPr="00785B09">
        <w:t>This study presents a detailed assessment o</w:t>
      </w:r>
      <w:r w:rsidR="007A6C06">
        <w:t>n</w:t>
      </w:r>
      <w:r w:rsidRPr="00785B09">
        <w:t xml:space="preserve"> the </w:t>
      </w:r>
      <w:r w:rsidR="00974F54">
        <w:t xml:space="preserve">impact of the </w:t>
      </w:r>
      <w:r w:rsidRPr="00785B09">
        <w:t xml:space="preserve">Brazilian legal framework related to </w:t>
      </w:r>
      <w:r w:rsidR="00086DA4">
        <w:t xml:space="preserve">the </w:t>
      </w:r>
      <w:r w:rsidR="000D4301">
        <w:t>a</w:t>
      </w:r>
      <w:r w:rsidR="0035211F">
        <w:t xml:space="preserve">ccess and </w:t>
      </w:r>
      <w:r w:rsidR="000D4301">
        <w:t>b</w:t>
      </w:r>
      <w:r w:rsidR="0035211F">
        <w:t xml:space="preserve">enefit </w:t>
      </w:r>
      <w:r w:rsidR="000D4301">
        <w:t>s</w:t>
      </w:r>
      <w:r w:rsidR="0035211F">
        <w:t>haring</w:t>
      </w:r>
      <w:r w:rsidR="004379DA">
        <w:t xml:space="preserve"> </w:t>
      </w:r>
      <w:r w:rsidR="00F45E9E">
        <w:t>provisions of the UN Convention on Bio</w:t>
      </w:r>
      <w:r w:rsidR="0076591A">
        <w:t>logical D</w:t>
      </w:r>
      <w:r w:rsidR="00F45E9E">
        <w:t>iversity</w:t>
      </w:r>
      <w:r w:rsidR="00292D73">
        <w:t xml:space="preserve">. The </w:t>
      </w:r>
      <w:r w:rsidR="001D76B0">
        <w:t xml:space="preserve">research </w:t>
      </w:r>
      <w:r w:rsidR="00292D73">
        <w:t>is</w:t>
      </w:r>
      <w:r w:rsidRPr="00785B09">
        <w:t xml:space="preserve"> based on a comprehensive dataset that was systematically collected over several years, directly from the official </w:t>
      </w:r>
      <w:r w:rsidR="00EB03E1">
        <w:t>government bodies</w:t>
      </w:r>
      <w:r w:rsidRPr="00785B09">
        <w:t xml:space="preserve"> responsible for its implementation. The aim of the study is to contribute to a fact-based discussion on the effectiveness of national ABS </w:t>
      </w:r>
      <w:r w:rsidR="00FD1301">
        <w:t>laws</w:t>
      </w:r>
      <w:r w:rsidRPr="00785B09">
        <w:t xml:space="preserve">, focusing on the Brazilian legal framework, first established in the year 2000 and revised in 2015, as a case example. This study balances the costs and benefits of the Brazilian ABS system and assesses the regulatory challenges it poses to individuals, </w:t>
      </w:r>
      <w:r w:rsidR="00785B09" w:rsidRPr="00785B09">
        <w:t>companies,</w:t>
      </w:r>
      <w:r w:rsidRPr="00785B09">
        <w:t xml:space="preserve"> and institutions that </w:t>
      </w:r>
      <w:r w:rsidR="00383952">
        <w:t xml:space="preserve">perform </w:t>
      </w:r>
      <w:r w:rsidRPr="00785B09">
        <w:t xml:space="preserve">research, share knowledge, develop, manufacture or market products derived from Brazilian biodiversity. The study indicates that, after </w:t>
      </w:r>
      <w:r w:rsidR="00383952">
        <w:t>over</w:t>
      </w:r>
      <w:r w:rsidRPr="00785B09">
        <w:t xml:space="preserve"> 22 years of operation, the regulatory challenges are still real and relevant</w:t>
      </w:r>
      <w:r w:rsidR="00B84863">
        <w:t>, and that t</w:t>
      </w:r>
      <w:r w:rsidR="00F55CB2">
        <w:t xml:space="preserve">he </w:t>
      </w:r>
      <w:r w:rsidR="001C4484">
        <w:t>significa</w:t>
      </w:r>
      <w:r w:rsidR="001D76B0">
        <w:t>nt</w:t>
      </w:r>
      <w:r w:rsidR="001C4484">
        <w:t xml:space="preserve"> </w:t>
      </w:r>
      <w:r w:rsidR="00927508">
        <w:t>volum</w:t>
      </w:r>
      <w:r w:rsidR="00D27844">
        <w:t>e of data</w:t>
      </w:r>
      <w:r w:rsidR="001C4484" w:rsidRPr="00EF119D">
        <w:t xml:space="preserve"> collected </w:t>
      </w:r>
      <w:r w:rsidR="00362724" w:rsidRPr="00EF119D">
        <w:t xml:space="preserve">from users </w:t>
      </w:r>
      <w:r w:rsidR="00C37F25" w:rsidRPr="00EF119D">
        <w:t xml:space="preserve">on access, prior commercialization and shipment of genetic </w:t>
      </w:r>
      <w:r w:rsidR="002851AA">
        <w:t>mat</w:t>
      </w:r>
      <w:r w:rsidR="00012F62">
        <w:t>e</w:t>
      </w:r>
      <w:r w:rsidR="002851AA">
        <w:t>rials</w:t>
      </w:r>
      <w:r w:rsidR="00C37F25" w:rsidRPr="00EF119D">
        <w:t xml:space="preserve"> abroad</w:t>
      </w:r>
      <w:r w:rsidR="00362724" w:rsidRPr="00EF119D">
        <w:t xml:space="preserve"> was never systematically </w:t>
      </w:r>
      <w:r w:rsidR="0007777C" w:rsidRPr="00EF119D">
        <w:t>assessed by the agencies in charge</w:t>
      </w:r>
      <w:r w:rsidR="00F55CB2">
        <w:t xml:space="preserve">. </w:t>
      </w:r>
      <w:r w:rsidR="00B84863">
        <w:t xml:space="preserve">Besides, it shows that </w:t>
      </w:r>
      <w:r w:rsidR="00931503">
        <w:t>t</w:t>
      </w:r>
      <w:r w:rsidR="004B6D6C">
        <w:t>he</w:t>
      </w:r>
      <w:r w:rsidRPr="00785B09">
        <w:t xml:space="preserve"> costs incurred by the government in managing the policy itself </w:t>
      </w:r>
      <w:r w:rsidR="009641C6">
        <w:t>have been</w:t>
      </w:r>
      <w:r w:rsidRPr="00785B09">
        <w:t xml:space="preserve"> </w:t>
      </w:r>
      <w:r w:rsidR="001D76B0">
        <w:t>higher</w:t>
      </w:r>
      <w:r w:rsidRPr="00785B09">
        <w:t xml:space="preserve"> than the economic benefit</w:t>
      </w:r>
      <w:r w:rsidR="0076591A">
        <w:t>s</w:t>
      </w:r>
      <w:r w:rsidRPr="00785B09">
        <w:t xml:space="preserve"> </w:t>
      </w:r>
      <w:r w:rsidR="009641C6">
        <w:t xml:space="preserve">it has </w:t>
      </w:r>
      <w:r w:rsidRPr="00785B09">
        <w:t xml:space="preserve">made possible, and </w:t>
      </w:r>
      <w:r w:rsidRPr="00383952">
        <w:t>that</w:t>
      </w:r>
      <w:r w:rsidRPr="00785B09">
        <w:t xml:space="preserve"> the institutional mechanisms in place since 2015</w:t>
      </w:r>
      <w:r w:rsidR="00321A55">
        <w:t xml:space="preserve"> </w:t>
      </w:r>
      <w:r w:rsidRPr="00785B09">
        <w:t xml:space="preserve">have not been able to </w:t>
      </w:r>
      <w:r w:rsidR="00E03D7D">
        <w:t>allocate</w:t>
      </w:r>
      <w:r w:rsidRPr="00785B09">
        <w:t xml:space="preserve"> the monetary </w:t>
      </w:r>
      <w:r w:rsidR="005B46C2">
        <w:t>benefits</w:t>
      </w:r>
      <w:r w:rsidR="00C548C3">
        <w:t xml:space="preserve"> contributed by users to the </w:t>
      </w:r>
      <w:r w:rsidR="00515F05">
        <w:t>National Benefit Sharing Fund</w:t>
      </w:r>
      <w:r w:rsidRPr="00785B09">
        <w:t xml:space="preserve"> </w:t>
      </w:r>
      <w:r w:rsidR="00604C4C">
        <w:t xml:space="preserve">to </w:t>
      </w:r>
      <w:r w:rsidR="00814F31">
        <w:t xml:space="preserve">any </w:t>
      </w:r>
      <w:r w:rsidRPr="00785B09">
        <w:t xml:space="preserve">projects aimed at developing sustainable uses </w:t>
      </w:r>
      <w:r w:rsidR="00814F31">
        <w:t>or</w:t>
      </w:r>
      <w:r w:rsidRPr="00785B09">
        <w:t xml:space="preserve"> preserv</w:t>
      </w:r>
      <w:r w:rsidR="00383952">
        <w:t>ing</w:t>
      </w:r>
      <w:r w:rsidRPr="00785B09">
        <w:t xml:space="preserve"> Brazilian biodiversity.</w:t>
      </w:r>
    </w:p>
    <w:p w14:paraId="3BAFA3E0" w14:textId="77777777" w:rsidR="00921C0E" w:rsidRPr="007B2BD4" w:rsidRDefault="00921C0E" w:rsidP="00921C0E">
      <w:pPr>
        <w:keepNext/>
        <w:keepLines/>
        <w:spacing w:before="240" w:after="0"/>
        <w:outlineLvl w:val="0"/>
        <w:rPr>
          <w:rFonts w:asciiTheme="majorHAnsi" w:eastAsiaTheme="majorEastAsia" w:hAnsiTheme="majorHAnsi" w:cstheme="majorBidi"/>
          <w:color w:val="0070C0"/>
          <w:sz w:val="28"/>
          <w:szCs w:val="28"/>
        </w:rPr>
      </w:pPr>
      <w:r w:rsidRPr="007B2BD4">
        <w:rPr>
          <w:rFonts w:asciiTheme="majorHAnsi" w:eastAsiaTheme="majorEastAsia" w:hAnsiTheme="majorHAnsi" w:cstheme="majorBidi"/>
          <w:b/>
          <w:bCs/>
          <w:color w:val="0070C0"/>
          <w:sz w:val="28"/>
          <w:szCs w:val="28"/>
        </w:rPr>
        <w:t>Keywords</w:t>
      </w:r>
    </w:p>
    <w:p w14:paraId="4A724276" w14:textId="240F03E4" w:rsidR="00921C0E" w:rsidRPr="00785B09" w:rsidRDefault="00921C0E" w:rsidP="00785B09">
      <w:pPr>
        <w:spacing w:line="257" w:lineRule="auto"/>
      </w:pPr>
      <w:r w:rsidRPr="007E06A5">
        <w:t xml:space="preserve">Convention on Biological Diversity; Nagoya </w:t>
      </w:r>
      <w:r w:rsidR="007E06A5">
        <w:t>P</w:t>
      </w:r>
      <w:r w:rsidRPr="007E06A5">
        <w:t xml:space="preserve">rotocol; </w:t>
      </w:r>
      <w:r w:rsidR="00684159">
        <w:t>ABS</w:t>
      </w:r>
      <w:r w:rsidR="0047699A">
        <w:t xml:space="preserve"> </w:t>
      </w:r>
      <w:r w:rsidR="003B0537">
        <w:t>a</w:t>
      </w:r>
      <w:r w:rsidRPr="007E06A5">
        <w:t xml:space="preserve">ccess and benefit sharing; Brazil ABS </w:t>
      </w:r>
      <w:r w:rsidR="00684159">
        <w:t>law</w:t>
      </w:r>
      <w:r w:rsidRPr="007E06A5">
        <w:t>; genetic resource</w:t>
      </w:r>
      <w:r w:rsidR="0047699A">
        <w:t>s</w:t>
      </w:r>
      <w:r w:rsidR="007E40A3">
        <w:t>;</w:t>
      </w:r>
      <w:r w:rsidRPr="007E06A5">
        <w:t xml:space="preserve"> associated traditional knowledge.</w:t>
      </w:r>
      <w:r w:rsidRPr="00921C0E">
        <w:t xml:space="preserve">  </w:t>
      </w:r>
    </w:p>
    <w:p w14:paraId="509E83BC" w14:textId="1217E3AA" w:rsidR="00CB281F" w:rsidRDefault="00B51F2A" w:rsidP="00785B09">
      <w:pPr>
        <w:spacing w:line="257" w:lineRule="auto"/>
      </w:pPr>
      <w:r w:rsidRPr="00785B09">
        <w:t xml:space="preserve">   </w:t>
      </w:r>
    </w:p>
    <w:p w14:paraId="3985B7F1" w14:textId="77777777" w:rsidR="00CB281F" w:rsidRDefault="00CB281F">
      <w:r>
        <w:br w:type="page"/>
      </w:r>
    </w:p>
    <w:bookmarkEnd w:id="0"/>
    <w:p w14:paraId="15E5EDFC" w14:textId="518F01FE" w:rsidR="00816737" w:rsidRPr="007B2BD4" w:rsidRDefault="00816737">
      <w:pPr>
        <w:pStyle w:val="Heading1"/>
        <w:numPr>
          <w:ilvl w:val="0"/>
          <w:numId w:val="3"/>
        </w:numPr>
        <w:rPr>
          <w:rStyle w:val="Heading1Char"/>
          <w:b/>
          <w:bCs/>
          <w:color w:val="0070C0"/>
          <w:sz w:val="28"/>
          <w:szCs w:val="28"/>
        </w:rPr>
      </w:pPr>
      <w:r w:rsidRPr="007B2BD4">
        <w:rPr>
          <w:rStyle w:val="Heading1Char"/>
          <w:b/>
          <w:bCs/>
          <w:color w:val="0070C0"/>
          <w:sz w:val="28"/>
          <w:szCs w:val="28"/>
        </w:rPr>
        <w:lastRenderedPageBreak/>
        <w:t xml:space="preserve">Introduction </w:t>
      </w:r>
    </w:p>
    <w:p w14:paraId="32368582" w14:textId="77777777" w:rsidR="00B71F1C" w:rsidRDefault="00B71F1C" w:rsidP="54D28F68">
      <w:pPr>
        <w:spacing w:line="257" w:lineRule="auto"/>
      </w:pPr>
    </w:p>
    <w:p w14:paraId="64FF57BD" w14:textId="6DE3F965" w:rsidR="00271D67" w:rsidRPr="00CB281F" w:rsidRDefault="54D28F68" w:rsidP="54D28F68">
      <w:pPr>
        <w:spacing w:line="257" w:lineRule="auto"/>
        <w:rPr>
          <w:rFonts w:eastAsia="Calibri" w:cstheme="minorHAnsi"/>
          <w:lang w:val="en"/>
        </w:rPr>
      </w:pPr>
      <w:r w:rsidRPr="00CB281F">
        <w:rPr>
          <w:rFonts w:cstheme="minorHAnsi"/>
        </w:rPr>
        <w:t>The Convention on Biological Diversity (CBD) was one of the main achievements of the United Nations Conference on Environment and Development (Rio 92)</w:t>
      </w:r>
      <w:r w:rsidR="00271D67" w:rsidRPr="00CB281F">
        <w:rPr>
          <w:rStyle w:val="EndnoteReference"/>
          <w:rFonts w:cstheme="minorHAnsi"/>
        </w:rPr>
        <w:endnoteReference w:id="2"/>
      </w:r>
      <w:r w:rsidR="00271D67" w:rsidRPr="00CB281F">
        <w:rPr>
          <w:rFonts w:cstheme="minorHAnsi"/>
        </w:rPr>
        <w:t xml:space="preserve">. </w:t>
      </w:r>
      <w:r w:rsidR="00271D67" w:rsidRPr="00CB281F">
        <w:rPr>
          <w:rFonts w:eastAsia="Calibri" w:cstheme="minorHAnsi"/>
          <w:lang w:val="en"/>
        </w:rPr>
        <w:t>T</w:t>
      </w:r>
      <w:r w:rsidR="00271D67" w:rsidRPr="00CB281F">
        <w:rPr>
          <w:rFonts w:cstheme="minorHAnsi"/>
        </w:rPr>
        <w:t>h</w:t>
      </w:r>
      <w:r w:rsidR="00271D67" w:rsidRPr="00CB281F">
        <w:rPr>
          <w:rFonts w:eastAsia="Calibri" w:cstheme="minorHAnsi"/>
          <w:lang w:val="en"/>
        </w:rPr>
        <w:t>e CBD came into force in December 1993</w:t>
      </w:r>
      <w:r w:rsidR="00271D67" w:rsidRPr="00CB281F">
        <w:rPr>
          <w:rStyle w:val="EndnoteReference"/>
          <w:rFonts w:eastAsia="Calibri" w:cstheme="minorHAnsi"/>
          <w:lang w:val="en"/>
        </w:rPr>
        <w:endnoteReference w:id="3"/>
      </w:r>
      <w:r w:rsidR="00271D67" w:rsidRPr="00CB281F">
        <w:rPr>
          <w:rFonts w:eastAsia="Calibri" w:cstheme="minorHAnsi"/>
          <w:lang w:val="en"/>
        </w:rPr>
        <w:t>. Brazil signed the Convention in 1992 and became a party in 1994</w:t>
      </w:r>
      <w:r w:rsidR="00271D67" w:rsidRPr="00CB281F">
        <w:rPr>
          <w:rStyle w:val="EndnoteReference"/>
          <w:rFonts w:eastAsia="Calibri" w:cstheme="minorHAnsi"/>
          <w:lang w:val="en"/>
        </w:rPr>
        <w:endnoteReference w:id="4"/>
      </w:r>
      <w:r w:rsidR="00271D67" w:rsidRPr="00CB281F">
        <w:rPr>
          <w:rFonts w:eastAsia="Calibri" w:cstheme="minorHAnsi"/>
          <w:lang w:val="en"/>
        </w:rPr>
        <w:t xml:space="preserve">. </w:t>
      </w:r>
      <w:r w:rsidR="00271D67" w:rsidRPr="00CB281F">
        <w:rPr>
          <w:rFonts w:eastAsia="Calibri" w:cstheme="minorHAnsi"/>
        </w:rPr>
        <w:t xml:space="preserve">The CBD </w:t>
      </w:r>
      <w:r w:rsidR="00B51F2A" w:rsidRPr="00CB281F">
        <w:rPr>
          <w:rFonts w:eastAsia="Calibri" w:cstheme="minorHAnsi"/>
        </w:rPr>
        <w:t xml:space="preserve">established </w:t>
      </w:r>
      <w:r w:rsidR="00271D67" w:rsidRPr="00CB281F">
        <w:rPr>
          <w:rFonts w:eastAsia="Calibri" w:cstheme="minorHAnsi"/>
        </w:rPr>
        <w:t xml:space="preserve">the principle that states have sovereign rights over native natural resources originating from their territories and have substantial freedom and authority to regulate and impose obligations on access to </w:t>
      </w:r>
      <w:r w:rsidR="00B51F2A" w:rsidRPr="00CB281F">
        <w:rPr>
          <w:rFonts w:eastAsia="Calibri" w:cstheme="minorHAnsi"/>
        </w:rPr>
        <w:t xml:space="preserve">and use of </w:t>
      </w:r>
      <w:r w:rsidR="00271D67" w:rsidRPr="00CB281F">
        <w:rPr>
          <w:rFonts w:eastAsia="Calibri" w:cstheme="minorHAnsi"/>
        </w:rPr>
        <w:t xml:space="preserve">the corresponding genetic resources (GR). </w:t>
      </w:r>
      <w:r w:rsidR="00271D67" w:rsidRPr="00CB281F">
        <w:rPr>
          <w:rFonts w:cstheme="minorHAnsi"/>
        </w:rPr>
        <w:t xml:space="preserve">The CBD commits countries to: (1) the preservation of </w:t>
      </w:r>
      <w:r w:rsidR="00271D67" w:rsidRPr="00CB281F">
        <w:rPr>
          <w:rFonts w:cstheme="minorHAnsi"/>
          <w:i/>
          <w:iCs/>
        </w:rPr>
        <w:t>in situ</w:t>
      </w:r>
      <w:r w:rsidR="00271D67" w:rsidRPr="00CB281F">
        <w:rPr>
          <w:rFonts w:cstheme="minorHAnsi"/>
        </w:rPr>
        <w:t xml:space="preserve"> biodiversity, through the creation and adequate supervision of natural reserves; (2) the identification, </w:t>
      </w:r>
      <w:r w:rsidR="00271D67" w:rsidRPr="00CB281F">
        <w:rPr>
          <w:rFonts w:cstheme="minorHAnsi"/>
          <w:i/>
          <w:iCs/>
        </w:rPr>
        <w:t xml:space="preserve">ex-situ </w:t>
      </w:r>
      <w:r w:rsidR="00271D67" w:rsidRPr="00CB281F">
        <w:rPr>
          <w:rFonts w:cstheme="minorHAnsi"/>
        </w:rPr>
        <w:t>conservation of and research on microorganisms, plants, animals and all types of living beings, and (3) the promotion of sustainable uses of the biodiversity for development purposes, through the provision of monetary resources and non-monetary  incentives for the development of value-added products based on biological materials, obtained in a sustainable way. This last objective stems from the perception that the development of sustainable uses can allow the generation of necessary income for traditional communities, while preserving the natural environment. Thus, in addition to promoting the development of sustainable exploitation of biodiversity, countries must also ensure a fair and equitable sharing of the economic results of such activities. Activities aimed at achieving CBD objective</w:t>
      </w:r>
      <w:r w:rsidR="00013927" w:rsidRPr="00CB281F">
        <w:rPr>
          <w:rFonts w:cstheme="minorHAnsi"/>
        </w:rPr>
        <w:t xml:space="preserve">s </w:t>
      </w:r>
      <w:r w:rsidR="002105AC" w:rsidRPr="00CB281F">
        <w:rPr>
          <w:rFonts w:cstheme="minorHAnsi"/>
        </w:rPr>
        <w:t xml:space="preserve">related to research, development and innovation </w:t>
      </w:r>
      <w:r w:rsidR="00AE48AD" w:rsidRPr="00CB281F">
        <w:rPr>
          <w:rFonts w:cstheme="minorHAnsi"/>
        </w:rPr>
        <w:t>based on biological materials</w:t>
      </w:r>
      <w:r w:rsidR="00271D67" w:rsidRPr="00CB281F">
        <w:rPr>
          <w:rFonts w:cstheme="minorHAnsi"/>
        </w:rPr>
        <w:t xml:space="preserve"> are known as provisions on “Access and Benefit Sharing”, or simply ABS.</w:t>
      </w:r>
    </w:p>
    <w:p w14:paraId="50335593" w14:textId="16F788D3" w:rsidR="00271D67" w:rsidRPr="00CB281F" w:rsidRDefault="00271D67" w:rsidP="00816737">
      <w:pPr>
        <w:spacing w:line="257" w:lineRule="auto"/>
        <w:rPr>
          <w:rFonts w:cstheme="minorHAnsi"/>
        </w:rPr>
      </w:pPr>
      <w:r w:rsidRPr="00CB281F">
        <w:rPr>
          <w:rFonts w:cstheme="minorHAnsi"/>
        </w:rPr>
        <w:t>Since the CBD’s inception in 1992, the Convention has been ratified and implemented by 196 Parties</w:t>
      </w:r>
      <w:r w:rsidRPr="00CB281F">
        <w:rPr>
          <w:rStyle w:val="EndnoteReference"/>
          <w:rFonts w:cstheme="minorHAnsi"/>
        </w:rPr>
        <w:endnoteReference w:id="5"/>
      </w:r>
      <w:r w:rsidRPr="00CB281F">
        <w:rPr>
          <w:rFonts w:cstheme="minorHAnsi"/>
        </w:rPr>
        <w:t xml:space="preserve">. </w:t>
      </w:r>
      <w:r w:rsidR="00B51F2A" w:rsidRPr="00CB281F">
        <w:rPr>
          <w:rFonts w:cstheme="minorHAnsi"/>
        </w:rPr>
        <w:t>S</w:t>
      </w:r>
      <w:r w:rsidRPr="00CB281F">
        <w:rPr>
          <w:rFonts w:cstheme="minorHAnsi"/>
        </w:rPr>
        <w:t>ince then</w:t>
      </w:r>
      <w:r w:rsidR="00B51F2A" w:rsidRPr="00CB281F">
        <w:rPr>
          <w:rFonts w:cstheme="minorHAnsi"/>
        </w:rPr>
        <w:t>, many countries have</w:t>
      </w:r>
      <w:r w:rsidR="00990784" w:rsidRPr="00CB281F">
        <w:rPr>
          <w:rFonts w:cstheme="minorHAnsi"/>
        </w:rPr>
        <w:t xml:space="preserve"> </w:t>
      </w:r>
      <w:r w:rsidRPr="00CB281F">
        <w:rPr>
          <w:rFonts w:cstheme="minorHAnsi"/>
        </w:rPr>
        <w:t>develop</w:t>
      </w:r>
      <w:r w:rsidR="00990784" w:rsidRPr="00CB281F">
        <w:rPr>
          <w:rFonts w:cstheme="minorHAnsi"/>
        </w:rPr>
        <w:t xml:space="preserve">ed </w:t>
      </w:r>
      <w:r w:rsidRPr="00CB281F">
        <w:rPr>
          <w:rFonts w:cstheme="minorHAnsi"/>
        </w:rPr>
        <w:t xml:space="preserve">national </w:t>
      </w:r>
      <w:r w:rsidR="00990784" w:rsidRPr="00CB281F">
        <w:rPr>
          <w:rFonts w:cstheme="minorHAnsi"/>
        </w:rPr>
        <w:t xml:space="preserve">ABS </w:t>
      </w:r>
      <w:r w:rsidRPr="00CB281F">
        <w:rPr>
          <w:rFonts w:cstheme="minorHAnsi"/>
        </w:rPr>
        <w:t>legislations, which implement the CBD provisions</w:t>
      </w:r>
      <w:r w:rsidR="00990784" w:rsidRPr="00CB281F">
        <w:rPr>
          <w:rFonts w:cstheme="minorHAnsi"/>
        </w:rPr>
        <w:t>.</w:t>
      </w:r>
      <w:r w:rsidRPr="00CB281F">
        <w:rPr>
          <w:rFonts w:cstheme="minorHAnsi"/>
        </w:rPr>
        <w:t xml:space="preserve"> Brazil was one of the pioneers to set up its ABS legislation. Its first version</w:t>
      </w:r>
      <w:r w:rsidRPr="00CB281F">
        <w:rPr>
          <w:rFonts w:eastAsia="Calibri" w:cstheme="minorHAnsi"/>
        </w:rPr>
        <w:t xml:space="preserve"> was a Provisional Measure (PM) issued by the Executive Branch without Congress' previous approval, in June 2000. To keep those provisions in effect, </w:t>
      </w:r>
      <w:r w:rsidR="00383952" w:rsidRPr="00CB281F">
        <w:rPr>
          <w:rFonts w:eastAsia="Calibri" w:cstheme="minorHAnsi"/>
        </w:rPr>
        <w:t>PM</w:t>
      </w:r>
      <w:r w:rsidRPr="00CB281F">
        <w:rPr>
          <w:rFonts w:eastAsia="Calibri" w:cstheme="minorHAnsi"/>
        </w:rPr>
        <w:t xml:space="preserve"> 2,816 of 2001</w:t>
      </w:r>
      <w:r w:rsidRPr="00CB281F">
        <w:rPr>
          <w:rStyle w:val="EndnoteReference"/>
          <w:rFonts w:eastAsia="Calibri" w:cstheme="minorHAnsi"/>
        </w:rPr>
        <w:endnoteReference w:id="6"/>
      </w:r>
      <w:r w:rsidRPr="00CB281F">
        <w:rPr>
          <w:rFonts w:eastAsia="Calibri" w:cstheme="minorHAnsi"/>
        </w:rPr>
        <w:t xml:space="preserve"> was re-edited sixteen times. </w:t>
      </w:r>
      <w:r w:rsidRPr="00CB281F">
        <w:rPr>
          <w:rFonts w:cstheme="minorHAnsi"/>
        </w:rPr>
        <w:t xml:space="preserve">Its requirements did not provide meaningful and effective incentives for research and development (R&amp;D). Instead, they established extensive and complex procedures for users to legally access biological resources, for </w:t>
      </w:r>
      <w:r w:rsidRPr="00CB281F">
        <w:rPr>
          <w:rFonts w:cstheme="minorHAnsi"/>
          <w:i/>
          <w:iCs/>
        </w:rPr>
        <w:t>ex</w:t>
      </w:r>
      <w:r w:rsidRPr="00CB281F">
        <w:rPr>
          <w:rFonts w:cstheme="minorHAnsi"/>
        </w:rPr>
        <w:t>-s</w:t>
      </w:r>
      <w:r w:rsidRPr="00CB281F">
        <w:rPr>
          <w:rFonts w:cstheme="minorHAnsi"/>
          <w:i/>
          <w:iCs/>
        </w:rPr>
        <w:t>itu</w:t>
      </w:r>
      <w:r w:rsidRPr="00CB281F">
        <w:rPr>
          <w:rFonts w:cstheme="minorHAnsi"/>
        </w:rPr>
        <w:t xml:space="preserve"> storage and research on the Brazilian “genetic heritage” (GH) - a concept introduced in that piece of legislation. Prior authorization was strictly required for any kind of access to GH. The development of products was </w:t>
      </w:r>
      <w:bookmarkStart w:id="1" w:name="_Int_wmx13mIC"/>
      <w:r w:rsidRPr="00CB281F">
        <w:rPr>
          <w:rFonts w:cstheme="minorHAnsi"/>
        </w:rPr>
        <w:t>the object</w:t>
      </w:r>
      <w:bookmarkEnd w:id="1"/>
      <w:r w:rsidRPr="00CB281F">
        <w:rPr>
          <w:rFonts w:cstheme="minorHAnsi"/>
        </w:rPr>
        <w:t xml:space="preserve"> of additional requirements, which were more extensive in case they had relied on access to “associated traditional knowledge” (ATK). </w:t>
      </w:r>
      <w:bookmarkStart w:id="2" w:name="_Int_CHB1EmNu"/>
      <w:r w:rsidRPr="00CB281F">
        <w:rPr>
          <w:rFonts w:cstheme="minorHAnsi"/>
        </w:rPr>
        <w:t>The ways</w:t>
      </w:r>
      <w:bookmarkEnd w:id="2"/>
      <w:r w:rsidRPr="00CB281F">
        <w:rPr>
          <w:rFonts w:cstheme="minorHAnsi"/>
        </w:rPr>
        <w:t xml:space="preserve"> economic benefits, arising from the commercialization of those products, would be shared with the government and the traditional </w:t>
      </w:r>
      <w:bookmarkStart w:id="3" w:name="_Int_j16GcWGF"/>
      <w:r w:rsidRPr="00CB281F">
        <w:rPr>
          <w:rFonts w:cstheme="minorHAnsi"/>
        </w:rPr>
        <w:t>communities</w:t>
      </w:r>
      <w:bookmarkEnd w:id="3"/>
      <w:r w:rsidRPr="00CB281F">
        <w:rPr>
          <w:rFonts w:cstheme="minorHAnsi"/>
        </w:rPr>
        <w:t xml:space="preserve"> </w:t>
      </w:r>
      <w:r w:rsidR="00990784" w:rsidRPr="00CB281F">
        <w:rPr>
          <w:rFonts w:cstheme="minorHAnsi"/>
        </w:rPr>
        <w:t xml:space="preserve">were to be decided on a case-by-case basis. </w:t>
      </w:r>
    </w:p>
    <w:p w14:paraId="07D90893" w14:textId="1895C4F7" w:rsidR="00271D67" w:rsidRPr="00CB281F" w:rsidRDefault="00271D67" w:rsidP="00816737">
      <w:pPr>
        <w:spacing w:line="257" w:lineRule="auto"/>
        <w:rPr>
          <w:rFonts w:eastAsia="Calibri" w:cstheme="minorHAnsi"/>
        </w:rPr>
      </w:pPr>
      <w:r w:rsidRPr="00CB281F">
        <w:rPr>
          <w:rFonts w:eastAsia="Calibri" w:cstheme="minorHAnsi"/>
          <w:noProof/>
        </w:rPr>
        <mc:AlternateContent>
          <mc:Choice Requires="wps">
            <w:drawing>
              <wp:anchor distT="45720" distB="45720" distL="114300" distR="114300" simplePos="0" relativeHeight="251658241" behindDoc="0" locked="0" layoutInCell="1" allowOverlap="1" wp14:anchorId="26E5D6AD" wp14:editId="1C0E6592">
                <wp:simplePos x="0" y="0"/>
                <wp:positionH relativeFrom="column">
                  <wp:posOffset>-8890</wp:posOffset>
                </wp:positionH>
                <wp:positionV relativeFrom="paragraph">
                  <wp:posOffset>82550</wp:posOffset>
                </wp:positionV>
                <wp:extent cx="1896745" cy="1404620"/>
                <wp:effectExtent l="0" t="0" r="8255"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6745" cy="1404620"/>
                        </a:xfrm>
                        <a:prstGeom prst="rect">
                          <a:avLst/>
                        </a:prstGeom>
                        <a:solidFill>
                          <a:schemeClr val="accent1">
                            <a:lumMod val="20000"/>
                            <a:lumOff val="80000"/>
                          </a:schemeClr>
                        </a:solidFill>
                        <a:ln w="9525">
                          <a:noFill/>
                          <a:miter lim="800000"/>
                          <a:headEnd/>
                          <a:tailEnd/>
                        </a:ln>
                      </wps:spPr>
                      <wps:txbx>
                        <w:txbxContent>
                          <w:p w14:paraId="078112F2" w14:textId="7FAF6EC3" w:rsidR="00271D67" w:rsidRPr="00814F59" w:rsidRDefault="00271D67">
                            <w:pPr>
                              <w:rPr>
                                <w:i/>
                                <w:iCs/>
                                <w:sz w:val="20"/>
                                <w:szCs w:val="20"/>
                              </w:rPr>
                            </w:pPr>
                            <w:r w:rsidRPr="00814F59">
                              <w:rPr>
                                <w:i/>
                                <w:iCs/>
                                <w:sz w:val="20"/>
                                <w:szCs w:val="20"/>
                              </w:rPr>
                              <w:t xml:space="preserve">PM 2,186/2001 was revoked after 15 </w:t>
                            </w:r>
                            <w:r w:rsidR="00990784" w:rsidRPr="00814F59">
                              <w:rPr>
                                <w:i/>
                                <w:iCs/>
                                <w:sz w:val="20"/>
                                <w:szCs w:val="20"/>
                              </w:rPr>
                              <w:t xml:space="preserve">years, </w:t>
                            </w:r>
                            <w:r w:rsidRPr="00814F59">
                              <w:rPr>
                                <w:i/>
                                <w:iCs/>
                                <w:sz w:val="20"/>
                                <w:szCs w:val="20"/>
                              </w:rPr>
                              <w:t>and Brazil adopted Law 13,123/2015 as its</w:t>
                            </w:r>
                            <w:r w:rsidR="003D6A70" w:rsidRPr="00814F59">
                              <w:rPr>
                                <w:i/>
                                <w:iCs/>
                                <w:sz w:val="20"/>
                                <w:szCs w:val="20"/>
                              </w:rPr>
                              <w:t xml:space="preserve"> </w:t>
                            </w:r>
                            <w:r w:rsidRPr="00814F59">
                              <w:rPr>
                                <w:i/>
                                <w:iCs/>
                                <w:sz w:val="20"/>
                                <w:szCs w:val="20"/>
                              </w:rPr>
                              <w:t>new ABS regime.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E5D6AD" id="_x0000_t202" coordsize="21600,21600" o:spt="202" path="m,l,21600r21600,l21600,xe">
                <v:stroke joinstyle="miter"/>
                <v:path gradientshapeok="t" o:connecttype="rect"/>
              </v:shapetype>
              <v:shape id="Text Box 2" o:spid="_x0000_s1026" type="#_x0000_t202" style="position:absolute;margin-left:-.7pt;margin-top:6.5pt;width:149.3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" fillcolor="#d9e2f3 [660]" stroked="f">
                <v:textbox style="mso-fit-shape-to-text:t">
                  <w:txbxContent>
                    <w:p w14:paraId="078112F2" w14:textId="7FAF6EC3" w:rsidR="00271D67" w:rsidRPr="00814F59" w:rsidRDefault="00271D67">
                      <w:pPr>
                        <w:rPr>
                          <w:i/>
                          <w:iCs/>
                          <w:sz w:val="20"/>
                          <w:szCs w:val="20"/>
                        </w:rPr>
                      </w:pPr>
                      <w:r w:rsidRPr="00814F59">
                        <w:rPr>
                          <w:i/>
                          <w:iCs/>
                          <w:sz w:val="20"/>
                          <w:szCs w:val="20"/>
                        </w:rPr>
                        <w:t xml:space="preserve">PM 2,186/2001 was revoked after 15 </w:t>
                      </w:r>
                      <w:r w:rsidR="00990784" w:rsidRPr="00814F59">
                        <w:rPr>
                          <w:i/>
                          <w:iCs/>
                          <w:sz w:val="20"/>
                          <w:szCs w:val="20"/>
                        </w:rPr>
                        <w:t xml:space="preserve">years, </w:t>
                      </w:r>
                      <w:r w:rsidRPr="00814F59">
                        <w:rPr>
                          <w:i/>
                          <w:iCs/>
                          <w:sz w:val="20"/>
                          <w:szCs w:val="20"/>
                        </w:rPr>
                        <w:t>and Brazil adopted Law 13,123/2015 as its</w:t>
                      </w:r>
                      <w:r w:rsidR="003D6A70" w:rsidRPr="00814F59">
                        <w:rPr>
                          <w:i/>
                          <w:iCs/>
                          <w:sz w:val="20"/>
                          <w:szCs w:val="20"/>
                        </w:rPr>
                        <w:t xml:space="preserve"> </w:t>
                      </w:r>
                      <w:r w:rsidRPr="00814F59">
                        <w:rPr>
                          <w:i/>
                          <w:iCs/>
                          <w:sz w:val="20"/>
                          <w:szCs w:val="20"/>
                        </w:rPr>
                        <w:t>new ABS regime.</w:t>
                      </w:r>
                    </w:p>
                  </w:txbxContent>
                </v:textbox>
                <w10:wrap type="square"/>
              </v:shape>
            </w:pict>
          </mc:Fallback>
        </mc:AlternateContent>
      </w:r>
      <w:r w:rsidRPr="00CB281F">
        <w:rPr>
          <w:rFonts w:eastAsia="Calibri" w:cstheme="minorHAnsi"/>
        </w:rPr>
        <w:t>After 15 years, in November 2015, Law 13,123</w:t>
      </w:r>
      <w:r w:rsidRPr="00CB281F">
        <w:rPr>
          <w:rStyle w:val="EndnoteReference"/>
          <w:rFonts w:eastAsia="Calibri" w:cstheme="minorHAnsi"/>
        </w:rPr>
        <w:endnoteReference w:id="7"/>
      </w:r>
      <w:r w:rsidR="00FB68A4" w:rsidRPr="00CB281F">
        <w:rPr>
          <w:rFonts w:eastAsia="Calibri" w:cstheme="minorHAnsi"/>
        </w:rPr>
        <w:t xml:space="preserve"> came into force, revoking</w:t>
      </w:r>
      <w:r w:rsidRPr="00CB281F">
        <w:rPr>
          <w:rFonts w:eastAsia="Calibri" w:cstheme="minorHAnsi"/>
        </w:rPr>
        <w:t xml:space="preserve"> the Provisional Measure and introduc</w:t>
      </w:r>
      <w:r w:rsidR="00383952" w:rsidRPr="00CB281F">
        <w:rPr>
          <w:rFonts w:eastAsia="Calibri" w:cstheme="minorHAnsi"/>
        </w:rPr>
        <w:t>ing</w:t>
      </w:r>
      <w:r w:rsidRPr="00CB281F">
        <w:rPr>
          <w:rFonts w:eastAsia="Calibri" w:cstheme="minorHAnsi"/>
        </w:rPr>
        <w:t xml:space="preserve"> new concepts, </w:t>
      </w:r>
      <w:r w:rsidR="001E6F38" w:rsidRPr="00CB281F">
        <w:rPr>
          <w:rFonts w:eastAsia="Calibri" w:cstheme="minorHAnsi"/>
        </w:rPr>
        <w:t xml:space="preserve">an </w:t>
      </w:r>
      <w:r w:rsidRPr="00CB281F">
        <w:rPr>
          <w:rFonts w:eastAsia="Calibri" w:cstheme="minorHAnsi"/>
        </w:rPr>
        <w:t>ABS online management system, compliance obligations and sanctions</w:t>
      </w:r>
      <w:r w:rsidR="005F70A2" w:rsidRPr="00CB281F">
        <w:rPr>
          <w:rFonts w:eastAsia="Calibri" w:cstheme="minorHAnsi"/>
        </w:rPr>
        <w:t xml:space="preserve">. </w:t>
      </w:r>
      <w:r w:rsidR="00911818" w:rsidRPr="00CB281F">
        <w:rPr>
          <w:rFonts w:eastAsia="Calibri" w:cstheme="minorHAnsi"/>
        </w:rPr>
        <w:t xml:space="preserve">It </w:t>
      </w:r>
      <w:r w:rsidR="00383952" w:rsidRPr="00CB281F">
        <w:rPr>
          <w:rFonts w:eastAsia="Calibri" w:cstheme="minorHAnsi"/>
        </w:rPr>
        <w:t xml:space="preserve">abandoned </w:t>
      </w:r>
      <w:r w:rsidRPr="00CB281F">
        <w:rPr>
          <w:rFonts w:eastAsia="Calibri" w:cstheme="minorHAnsi"/>
        </w:rPr>
        <w:t>the need for prior authorization and establish</w:t>
      </w:r>
      <w:r w:rsidR="00911818" w:rsidRPr="00CB281F">
        <w:rPr>
          <w:rFonts w:eastAsia="Calibri" w:cstheme="minorHAnsi"/>
        </w:rPr>
        <w:t>ed</w:t>
      </w:r>
      <w:r w:rsidRPr="00CB281F">
        <w:rPr>
          <w:rFonts w:eastAsia="Calibri" w:cstheme="minorHAnsi"/>
        </w:rPr>
        <w:t xml:space="preserve"> a standard key for benefit sharing. </w:t>
      </w:r>
    </w:p>
    <w:p w14:paraId="44DA9D48" w14:textId="1DF1C1BF" w:rsidR="00271D67" w:rsidRPr="00CB281F" w:rsidRDefault="00BE7AFB" w:rsidP="00816737">
      <w:pPr>
        <w:spacing w:line="257" w:lineRule="auto"/>
      </w:pPr>
      <w:r w:rsidRPr="00CB281F">
        <w:lastRenderedPageBreak/>
        <w:t xml:space="preserve">As academic and business R&amp;D activities on new sustainable uses of the Brazilian GH are cornerstones </w:t>
      </w:r>
      <w:r w:rsidR="00FE7643" w:rsidRPr="00CB281F">
        <w:t>for</w:t>
      </w:r>
      <w:r w:rsidRPr="00CB281F">
        <w:t xml:space="preserve"> achiev</w:t>
      </w:r>
      <w:r w:rsidR="00FE7643" w:rsidRPr="00CB281F">
        <w:t>ing</w:t>
      </w:r>
      <w:r w:rsidRPr="00CB281F">
        <w:t xml:space="preserve"> the second and third objectives of the CBD</w:t>
      </w:r>
      <w:r w:rsidR="00271D67" w:rsidRPr="00CB281F">
        <w:t>, there were</w:t>
      </w:r>
      <w:r w:rsidR="001A7F79" w:rsidRPr="00CB281F">
        <w:t xml:space="preserve"> plausible</w:t>
      </w:r>
      <w:r w:rsidR="00271D67" w:rsidRPr="00CB281F">
        <w:t xml:space="preserve"> concerns </w:t>
      </w:r>
      <w:r w:rsidR="001E6F38" w:rsidRPr="00CB281F">
        <w:t xml:space="preserve">about </w:t>
      </w:r>
      <w:r w:rsidR="00271D67" w:rsidRPr="00CB281F">
        <w:t>the impact of the ABS regulations</w:t>
      </w:r>
      <w:r w:rsidR="00937EAF" w:rsidRPr="00CB281F">
        <w:t>.</w:t>
      </w:r>
    </w:p>
    <w:p w14:paraId="768FFE9A" w14:textId="5F12C3BC" w:rsidR="002B5D4D" w:rsidRPr="00CB281F" w:rsidRDefault="00271D67" w:rsidP="002B5D4D">
      <w:pPr>
        <w:spacing w:line="257" w:lineRule="auto"/>
      </w:pPr>
      <w:r w:rsidRPr="00CB281F">
        <w:t>The</w:t>
      </w:r>
      <w:r w:rsidR="00990784" w:rsidRPr="00CB281F">
        <w:t xml:space="preserve"> central objective of this paper is to</w:t>
      </w:r>
      <w:r w:rsidR="000C6B88" w:rsidRPr="00CB281F">
        <w:rPr>
          <w:rFonts w:ascii="Calibri" w:eastAsia="Calibri" w:hAnsi="Calibri" w:cs="Calibri"/>
        </w:rPr>
        <w:t xml:space="preserve"> asses</w:t>
      </w:r>
      <w:r w:rsidR="00FE7643" w:rsidRPr="00CB281F">
        <w:rPr>
          <w:rFonts w:ascii="Calibri" w:eastAsia="Calibri" w:hAnsi="Calibri" w:cs="Calibri"/>
        </w:rPr>
        <w:t xml:space="preserve">s </w:t>
      </w:r>
      <w:r w:rsidR="000C6B88" w:rsidRPr="00CB281F">
        <w:rPr>
          <w:rFonts w:ascii="Calibri" w:eastAsia="Calibri" w:hAnsi="Calibri" w:cs="Calibri"/>
        </w:rPr>
        <w:t xml:space="preserve">the effectiveness of </w:t>
      </w:r>
      <w:r w:rsidR="00FD69DF" w:rsidRPr="00CB281F">
        <w:rPr>
          <w:rFonts w:ascii="Calibri" w:eastAsia="Calibri" w:hAnsi="Calibri" w:cs="Calibri"/>
        </w:rPr>
        <w:t xml:space="preserve">national </w:t>
      </w:r>
      <w:r w:rsidR="00FE7643" w:rsidRPr="00CB281F">
        <w:rPr>
          <w:rFonts w:ascii="Calibri" w:eastAsia="Calibri" w:hAnsi="Calibri" w:cs="Calibri"/>
        </w:rPr>
        <w:t xml:space="preserve">ABS </w:t>
      </w:r>
      <w:r w:rsidR="00FD69DF" w:rsidRPr="00CB281F">
        <w:rPr>
          <w:rFonts w:ascii="Calibri" w:eastAsia="Calibri" w:hAnsi="Calibri" w:cs="Calibri"/>
        </w:rPr>
        <w:t xml:space="preserve">regulations, </w:t>
      </w:r>
      <w:r w:rsidR="000C6B88" w:rsidRPr="00CB281F">
        <w:rPr>
          <w:rFonts w:ascii="Calibri" w:eastAsia="Calibri" w:hAnsi="Calibri" w:cs="Calibri"/>
        </w:rPr>
        <w:t xml:space="preserve">focusing on the Brazilian ABS </w:t>
      </w:r>
      <w:r w:rsidR="00FD69DF" w:rsidRPr="00CB281F">
        <w:rPr>
          <w:rFonts w:ascii="Calibri" w:eastAsia="Calibri" w:hAnsi="Calibri" w:cs="Calibri"/>
        </w:rPr>
        <w:t xml:space="preserve">legal </w:t>
      </w:r>
      <w:r w:rsidR="000C6B88" w:rsidRPr="00CB281F">
        <w:rPr>
          <w:rFonts w:ascii="Calibri" w:eastAsia="Calibri" w:hAnsi="Calibri" w:cs="Calibri"/>
        </w:rPr>
        <w:t xml:space="preserve">framework as </w:t>
      </w:r>
      <w:r w:rsidR="00FD69DF" w:rsidRPr="00CB281F">
        <w:rPr>
          <w:rFonts w:ascii="Calibri" w:eastAsia="Calibri" w:hAnsi="Calibri" w:cs="Calibri"/>
        </w:rPr>
        <w:t xml:space="preserve">a </w:t>
      </w:r>
      <w:r w:rsidR="00FE7643" w:rsidRPr="00CB281F">
        <w:rPr>
          <w:rFonts w:ascii="Calibri" w:eastAsia="Calibri" w:hAnsi="Calibri" w:cs="Calibri"/>
        </w:rPr>
        <w:t xml:space="preserve">unique </w:t>
      </w:r>
      <w:r w:rsidR="00FD69DF" w:rsidRPr="00CB281F">
        <w:rPr>
          <w:rFonts w:ascii="Calibri" w:eastAsia="Calibri" w:hAnsi="Calibri" w:cs="Calibri"/>
        </w:rPr>
        <w:t>case example</w:t>
      </w:r>
      <w:r w:rsidR="000C6B88" w:rsidRPr="00CB281F">
        <w:rPr>
          <w:rFonts w:ascii="Calibri" w:eastAsia="Calibri" w:hAnsi="Calibri" w:cs="Calibri"/>
        </w:rPr>
        <w:t>.</w:t>
      </w:r>
      <w:r w:rsidR="001A7F79" w:rsidRPr="00CB281F">
        <w:rPr>
          <w:rFonts w:ascii="Calibri" w:eastAsia="Calibri" w:hAnsi="Calibri" w:cs="Calibri"/>
        </w:rPr>
        <w:t xml:space="preserve"> T</w:t>
      </w:r>
      <w:r w:rsidR="005B2C85" w:rsidRPr="00CB281F">
        <w:rPr>
          <w:rFonts w:ascii="Calibri" w:eastAsia="Calibri" w:hAnsi="Calibri" w:cs="Calibri"/>
        </w:rPr>
        <w:t xml:space="preserve">his study </w:t>
      </w:r>
      <w:r w:rsidR="006C7453" w:rsidRPr="00CB281F">
        <w:rPr>
          <w:rFonts w:ascii="Calibri" w:eastAsia="Calibri" w:hAnsi="Calibri" w:cs="Calibri"/>
        </w:rPr>
        <w:t xml:space="preserve">makes use of </w:t>
      </w:r>
      <w:r w:rsidR="003A6051" w:rsidRPr="00CB281F">
        <w:rPr>
          <w:rFonts w:ascii="Calibri" w:eastAsia="Calibri" w:hAnsi="Calibri" w:cs="Calibri"/>
        </w:rPr>
        <w:t xml:space="preserve">systematic </w:t>
      </w:r>
      <w:r w:rsidR="007E0889" w:rsidRPr="00CB281F">
        <w:rPr>
          <w:rFonts w:ascii="Calibri" w:eastAsia="Calibri" w:hAnsi="Calibri" w:cs="Calibri"/>
        </w:rPr>
        <w:t>m</w:t>
      </w:r>
      <w:r w:rsidR="006C7453" w:rsidRPr="00CB281F">
        <w:rPr>
          <w:rFonts w:ascii="Calibri" w:eastAsia="Calibri" w:hAnsi="Calibri" w:cs="Calibri"/>
        </w:rPr>
        <w:t xml:space="preserve">ethods </w:t>
      </w:r>
      <w:r w:rsidR="004E1452" w:rsidRPr="00CB281F">
        <w:rPr>
          <w:rFonts w:ascii="Calibri" w:eastAsia="Calibri" w:hAnsi="Calibri" w:cs="Calibri"/>
        </w:rPr>
        <w:t>to obtain reliable data</w:t>
      </w:r>
      <w:r w:rsidR="003448D9" w:rsidRPr="00CB281F">
        <w:rPr>
          <w:rFonts w:ascii="Calibri" w:eastAsia="Calibri" w:hAnsi="Calibri" w:cs="Calibri"/>
        </w:rPr>
        <w:t>, which can be replicated in other countries</w:t>
      </w:r>
      <w:r w:rsidR="00C7604B" w:rsidRPr="00CB281F">
        <w:rPr>
          <w:rFonts w:ascii="Calibri" w:eastAsia="Calibri" w:hAnsi="Calibri" w:cs="Calibri"/>
        </w:rPr>
        <w:t xml:space="preserve">. It can thus </w:t>
      </w:r>
      <w:r w:rsidR="00FE7643" w:rsidRPr="00CB281F">
        <w:rPr>
          <w:rFonts w:ascii="Calibri" w:eastAsia="Calibri" w:hAnsi="Calibri" w:cs="Calibri"/>
        </w:rPr>
        <w:t>enrich</w:t>
      </w:r>
      <w:r w:rsidR="00C7604B" w:rsidRPr="00CB281F">
        <w:rPr>
          <w:rFonts w:ascii="Calibri" w:eastAsia="Calibri" w:hAnsi="Calibri" w:cs="Calibri"/>
        </w:rPr>
        <w:t xml:space="preserve"> international</w:t>
      </w:r>
      <w:r w:rsidR="000C6B88" w:rsidRPr="00CB281F">
        <w:rPr>
          <w:rFonts w:ascii="Calibri" w:eastAsia="Calibri" w:hAnsi="Calibri" w:cs="Calibri"/>
        </w:rPr>
        <w:t xml:space="preserve"> discussions related to ABS</w:t>
      </w:r>
      <w:r w:rsidR="00FE7643" w:rsidRPr="00CB281F">
        <w:rPr>
          <w:rFonts w:ascii="Calibri" w:eastAsia="Calibri" w:hAnsi="Calibri" w:cs="Calibri"/>
        </w:rPr>
        <w:t>.</w:t>
      </w:r>
      <w:r w:rsidRPr="00CB281F">
        <w:rPr>
          <w:rFonts w:ascii="Calibri" w:eastAsia="Calibri" w:hAnsi="Calibri" w:cs="Calibri"/>
          <w:lang w:val="en"/>
        </w:rPr>
        <w:t xml:space="preserve"> </w:t>
      </w:r>
      <w:r w:rsidR="002B5D4D" w:rsidRPr="00CB281F">
        <w:t xml:space="preserve">This article is based on data collected from 2015 to August-2022, directly </w:t>
      </w:r>
      <w:r w:rsidR="00FE7643" w:rsidRPr="00CB281F">
        <w:t>obtained through</w:t>
      </w:r>
      <w:r w:rsidR="002B5D4D" w:rsidRPr="00CB281F">
        <w:t xml:space="preserve"> the Brazilian government authorities</w:t>
      </w:r>
      <w:r w:rsidR="00B13AF2" w:rsidRPr="00CB281F">
        <w:t>’</w:t>
      </w:r>
      <w:r w:rsidR="006C426C" w:rsidRPr="00CB281F">
        <w:t xml:space="preserve"> information systems</w:t>
      </w:r>
      <w:r w:rsidR="00394BFC" w:rsidRPr="00CB281F">
        <w:t>,</w:t>
      </w:r>
      <w:r w:rsidR="00C80B20" w:rsidRPr="00CB281F">
        <w:t xml:space="preserve"> and</w:t>
      </w:r>
      <w:r w:rsidR="00E01026" w:rsidRPr="00CB281F">
        <w:t xml:space="preserve"> </w:t>
      </w:r>
      <w:r w:rsidR="00394BFC" w:rsidRPr="00CB281F">
        <w:t xml:space="preserve">through </w:t>
      </w:r>
      <w:r w:rsidR="005B4450" w:rsidRPr="00CB281F">
        <w:t>legal inquir</w:t>
      </w:r>
      <w:r w:rsidR="00FE7643" w:rsidRPr="00CB281F">
        <w:t>y</w:t>
      </w:r>
      <w:r w:rsidR="005B4450" w:rsidRPr="00CB281F">
        <w:t xml:space="preserve"> procedures </w:t>
      </w:r>
      <w:r w:rsidR="00E01026" w:rsidRPr="00CB281F">
        <w:t>(</w:t>
      </w:r>
      <w:r w:rsidR="005B4450" w:rsidRPr="00CB281F">
        <w:t xml:space="preserve">based on </w:t>
      </w:r>
      <w:r w:rsidR="007568CE" w:rsidRPr="00CB281F">
        <w:t>citizen access to government data</w:t>
      </w:r>
      <w:r w:rsidR="00E01026" w:rsidRPr="00CB281F">
        <w:t>)</w:t>
      </w:r>
      <w:r w:rsidR="007568CE" w:rsidRPr="00CB281F">
        <w:t xml:space="preserve">, </w:t>
      </w:r>
      <w:r w:rsidR="00610234" w:rsidRPr="00CB281F">
        <w:t>as well as</w:t>
      </w:r>
      <w:r w:rsidR="006C426C" w:rsidRPr="00CB281F">
        <w:t xml:space="preserve"> from </w:t>
      </w:r>
      <w:r w:rsidR="002B5D4D" w:rsidRPr="00CB281F">
        <w:t>national and international non-government organizations</w:t>
      </w:r>
      <w:r w:rsidR="00610234" w:rsidRPr="00CB281F">
        <w:t>,</w:t>
      </w:r>
      <w:r w:rsidR="002B5D4D" w:rsidRPr="00CB281F">
        <w:t xml:space="preserve"> from </w:t>
      </w:r>
      <w:r w:rsidR="00610234" w:rsidRPr="00CB281F">
        <w:t xml:space="preserve">their </w:t>
      </w:r>
      <w:r w:rsidR="002B5D4D" w:rsidRPr="00CB281F">
        <w:t>freely available sources on the internet</w:t>
      </w:r>
      <w:r w:rsidR="00F20130" w:rsidRPr="00CB281F">
        <w:t xml:space="preserve">. All those data </w:t>
      </w:r>
      <w:r w:rsidR="002B5D4D" w:rsidRPr="00CB281F">
        <w:t>are presented amid their discussion.</w:t>
      </w:r>
    </w:p>
    <w:p w14:paraId="12AB4DE6" w14:textId="77777777" w:rsidR="00271D67" w:rsidRPr="0054759D" w:rsidRDefault="00271D67" w:rsidP="00816737"/>
    <w:p w14:paraId="674769B8" w14:textId="329CAFD4" w:rsidR="00271D67" w:rsidRPr="007B2BD4" w:rsidRDefault="00271D67">
      <w:pPr>
        <w:pStyle w:val="Heading1"/>
        <w:numPr>
          <w:ilvl w:val="0"/>
          <w:numId w:val="3"/>
        </w:numPr>
        <w:rPr>
          <w:rFonts w:eastAsiaTheme="minorEastAsia"/>
          <w:b/>
          <w:bCs/>
          <w:color w:val="0070C0"/>
          <w:sz w:val="28"/>
          <w:szCs w:val="28"/>
        </w:rPr>
      </w:pPr>
      <w:r w:rsidRPr="007B2BD4">
        <w:rPr>
          <w:rStyle w:val="Heading1Char"/>
          <w:b/>
          <w:bCs/>
          <w:color w:val="0070C0"/>
          <w:sz w:val="28"/>
          <w:szCs w:val="28"/>
        </w:rPr>
        <w:t>Material</w:t>
      </w:r>
      <w:r w:rsidR="00B64333" w:rsidRPr="007B2BD4">
        <w:rPr>
          <w:rStyle w:val="Heading1Char"/>
          <w:b/>
          <w:bCs/>
          <w:color w:val="0070C0"/>
          <w:sz w:val="28"/>
          <w:szCs w:val="28"/>
        </w:rPr>
        <w:t>s</w:t>
      </w:r>
      <w:r w:rsidRPr="007B2BD4">
        <w:rPr>
          <w:rStyle w:val="Heading1Char"/>
          <w:b/>
          <w:bCs/>
          <w:color w:val="0070C0"/>
          <w:sz w:val="28"/>
          <w:szCs w:val="28"/>
        </w:rPr>
        <w:t xml:space="preserve"> and Methods</w:t>
      </w:r>
      <w:r w:rsidRPr="007B2BD4">
        <w:rPr>
          <w:rFonts w:eastAsiaTheme="minorEastAsia"/>
          <w:b/>
          <w:bCs/>
          <w:color w:val="0070C0"/>
          <w:sz w:val="28"/>
          <w:szCs w:val="28"/>
        </w:rPr>
        <w:t xml:space="preserve"> </w:t>
      </w:r>
    </w:p>
    <w:p w14:paraId="146E3F96" w14:textId="77777777" w:rsidR="00271D67" w:rsidRPr="006C4CE2" w:rsidRDefault="00271D67" w:rsidP="002516F0">
      <w:pPr>
        <w:pStyle w:val="ListParagraph"/>
      </w:pPr>
    </w:p>
    <w:p w14:paraId="394AF8FA" w14:textId="009F8758" w:rsidR="00271D67" w:rsidRPr="00B71F1C" w:rsidRDefault="00271D67">
      <w:pPr>
        <w:pStyle w:val="Heading2"/>
        <w:numPr>
          <w:ilvl w:val="1"/>
          <w:numId w:val="3"/>
        </w:numPr>
        <w:rPr>
          <w:color w:val="0070C0"/>
        </w:rPr>
      </w:pPr>
      <w:r w:rsidRPr="00B71F1C">
        <w:rPr>
          <w:color w:val="0070C0"/>
        </w:rPr>
        <w:t xml:space="preserve">ABS </w:t>
      </w:r>
      <w:r w:rsidR="00257310">
        <w:rPr>
          <w:color w:val="0070C0"/>
        </w:rPr>
        <w:t>d</w:t>
      </w:r>
      <w:r w:rsidRPr="00B71F1C">
        <w:rPr>
          <w:color w:val="0070C0"/>
        </w:rPr>
        <w:t xml:space="preserve">ata </w:t>
      </w:r>
      <w:r w:rsidR="00C016D0">
        <w:rPr>
          <w:color w:val="0070C0"/>
        </w:rPr>
        <w:t>c</w:t>
      </w:r>
      <w:r w:rsidR="00C016D0" w:rsidRPr="00B71F1C">
        <w:rPr>
          <w:color w:val="0070C0"/>
        </w:rPr>
        <w:t>ollection</w:t>
      </w:r>
    </w:p>
    <w:p w14:paraId="7E84816A" w14:textId="57955C6C" w:rsidR="00271D67" w:rsidRPr="001953B8" w:rsidRDefault="00271D67" w:rsidP="001953B8"/>
    <w:p w14:paraId="4634B759" w14:textId="23673D0F" w:rsidR="00271D67" w:rsidRPr="00CB281F" w:rsidRDefault="00271D67" w:rsidP="07D91B0E">
      <w:pPr>
        <w:spacing w:line="257" w:lineRule="auto"/>
        <w:rPr>
          <w:rFonts w:eastAsia="Calibri" w:cstheme="minorHAnsi"/>
          <w:lang w:val="en"/>
        </w:rPr>
      </w:pPr>
      <w:r w:rsidRPr="00CB281F">
        <w:rPr>
          <w:rFonts w:eastAsia="Calibri" w:cstheme="minorHAnsi"/>
          <w:noProof/>
          <w:lang w:val="en"/>
        </w:rPr>
        <mc:AlternateContent>
          <mc:Choice Requires="wps">
            <w:drawing>
              <wp:anchor distT="45720" distB="45720" distL="114300" distR="114300" simplePos="0" relativeHeight="251658242" behindDoc="0" locked="0" layoutInCell="1" allowOverlap="1" wp14:anchorId="2ABAB701" wp14:editId="72008FD9">
                <wp:simplePos x="0" y="0"/>
                <wp:positionH relativeFrom="column">
                  <wp:posOffset>-36195</wp:posOffset>
                </wp:positionH>
                <wp:positionV relativeFrom="paragraph">
                  <wp:posOffset>467995</wp:posOffset>
                </wp:positionV>
                <wp:extent cx="2067560" cy="516255"/>
                <wp:effectExtent l="0" t="0" r="889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7560" cy="516255"/>
                        </a:xfrm>
                        <a:prstGeom prst="rect">
                          <a:avLst/>
                        </a:prstGeom>
                        <a:solidFill>
                          <a:srgbClr val="FFFFFF"/>
                        </a:solidFill>
                        <a:ln w="9525">
                          <a:noFill/>
                          <a:miter lim="800000"/>
                          <a:headEnd/>
                          <a:tailEnd/>
                        </a:ln>
                      </wps:spPr>
                      <wps:txbx>
                        <w:txbxContent>
                          <w:p w14:paraId="7E47AA54" w14:textId="3C6E9D90" w:rsidR="00271D67" w:rsidRPr="00814F59" w:rsidRDefault="00271D67" w:rsidP="00687D37">
                            <w:pPr>
                              <w:shd w:val="clear" w:color="auto" w:fill="D9E2F3" w:themeFill="accent1" w:themeFillTint="33"/>
                              <w:rPr>
                                <w:i/>
                                <w:iCs/>
                                <w:sz w:val="20"/>
                                <w:szCs w:val="20"/>
                              </w:rPr>
                            </w:pPr>
                            <w:r w:rsidRPr="00814F59">
                              <w:rPr>
                                <w:i/>
                                <w:iCs/>
                                <w:sz w:val="20"/>
                                <w:szCs w:val="20"/>
                              </w:rPr>
                              <w:t xml:space="preserve">SisGen is Brazil’s </w:t>
                            </w:r>
                            <w:r w:rsidR="00A04BE8" w:rsidRPr="00814F59">
                              <w:rPr>
                                <w:i/>
                                <w:iCs/>
                                <w:sz w:val="20"/>
                                <w:szCs w:val="20"/>
                              </w:rPr>
                              <w:t xml:space="preserve">public </w:t>
                            </w:r>
                            <w:r w:rsidRPr="00814F59">
                              <w:rPr>
                                <w:i/>
                                <w:iCs/>
                                <w:sz w:val="20"/>
                                <w:szCs w:val="20"/>
                              </w:rPr>
                              <w:t>ABS compliance database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BAB701" id="_x0000_s1027" type="#_x0000_t202" style="position:absolute;margin-left:-2.85pt;margin-top:36.85pt;width:162.8pt;height:40.6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" stroked="f">
                <v:textbox>
                  <w:txbxContent>
                    <w:p w14:paraId="7E47AA54" w14:textId="3C6E9D90" w:rsidR="00271D67" w:rsidRPr="00814F59" w:rsidRDefault="00271D67" w:rsidP="00687D37">
                      <w:pPr>
                        <w:shd w:val="clear" w:color="auto" w:fill="D9E2F3" w:themeFill="accent1" w:themeFillTint="33"/>
                        <w:rPr>
                          <w:i/>
                          <w:iCs/>
                          <w:sz w:val="20"/>
                          <w:szCs w:val="20"/>
                        </w:rPr>
                      </w:pPr>
                      <w:r w:rsidRPr="00814F59">
                        <w:rPr>
                          <w:i/>
                          <w:iCs/>
                          <w:sz w:val="20"/>
                          <w:szCs w:val="20"/>
                        </w:rPr>
                        <w:t xml:space="preserve">SisGen is Brazil’s </w:t>
                      </w:r>
                      <w:r w:rsidR="00A04BE8" w:rsidRPr="00814F59">
                        <w:rPr>
                          <w:i/>
                          <w:iCs/>
                          <w:sz w:val="20"/>
                          <w:szCs w:val="20"/>
                        </w:rPr>
                        <w:t xml:space="preserve">public </w:t>
                      </w:r>
                      <w:r w:rsidRPr="00814F59">
                        <w:rPr>
                          <w:i/>
                          <w:iCs/>
                          <w:sz w:val="20"/>
                          <w:szCs w:val="20"/>
                        </w:rPr>
                        <w:t>ABS compliance database</w:t>
                      </w:r>
                    </w:p>
                  </w:txbxContent>
                </v:textbox>
                <w10:wrap type="square"/>
              </v:shape>
            </w:pict>
          </mc:Fallback>
        </mc:AlternateContent>
      </w:r>
      <w:r w:rsidRPr="00CB281F">
        <w:rPr>
          <w:rFonts w:eastAsia="Calibri" w:cstheme="minorHAnsi"/>
          <w:lang w:val="en"/>
        </w:rPr>
        <w:t xml:space="preserve">As </w:t>
      </w:r>
      <w:r w:rsidR="002B5D4D" w:rsidRPr="00CB281F">
        <w:rPr>
          <w:rFonts w:eastAsia="Calibri" w:cstheme="minorHAnsi"/>
          <w:lang w:val="en"/>
        </w:rPr>
        <w:t>e</w:t>
      </w:r>
      <w:r w:rsidRPr="00CB281F">
        <w:rPr>
          <w:rFonts w:eastAsia="Calibri" w:cstheme="minorHAnsi"/>
          <w:lang w:val="en"/>
        </w:rPr>
        <w:t>stablished by the current</w:t>
      </w:r>
      <w:r w:rsidR="002B5D4D" w:rsidRPr="00CB281F">
        <w:rPr>
          <w:rFonts w:eastAsia="Calibri" w:cstheme="minorHAnsi"/>
          <w:lang w:val="en"/>
        </w:rPr>
        <w:t xml:space="preserve"> ABS</w:t>
      </w:r>
      <w:r w:rsidRPr="00CB281F">
        <w:rPr>
          <w:rFonts w:eastAsia="Calibri" w:cstheme="minorHAnsi"/>
          <w:lang w:val="en"/>
        </w:rPr>
        <w:t xml:space="preserve"> legislation, Brazil has implemented the online National ABS Management System (SisGen)</w:t>
      </w:r>
      <w:r w:rsidR="001E6F38" w:rsidRPr="00CB281F">
        <w:rPr>
          <w:rFonts w:eastAsia="Calibri" w:cstheme="minorHAnsi"/>
          <w:lang w:val="en"/>
        </w:rPr>
        <w:t>,</w:t>
      </w:r>
      <w:r w:rsidRPr="00CB281F">
        <w:rPr>
          <w:rFonts w:eastAsia="Calibri" w:cstheme="minorHAnsi"/>
          <w:lang w:val="en"/>
        </w:rPr>
        <w:t xml:space="preserve"> allowing the government to have a robust public database</w:t>
      </w:r>
      <w:r w:rsidRPr="00CB281F">
        <w:rPr>
          <w:rStyle w:val="EndnoteReference"/>
          <w:rFonts w:eastAsia="Calibri" w:cstheme="minorHAnsi"/>
          <w:lang w:val="en"/>
        </w:rPr>
        <w:endnoteReference w:id="8"/>
      </w:r>
      <w:r w:rsidRPr="00CB281F">
        <w:rPr>
          <w:rFonts w:eastAsia="Calibri" w:cstheme="minorHAnsi"/>
          <w:lang w:val="en"/>
        </w:rPr>
        <w:t xml:space="preserve">, available for consultation. </w:t>
      </w:r>
      <w:r w:rsidR="002B5D4D" w:rsidRPr="00CB281F">
        <w:rPr>
          <w:rFonts w:eastAsia="Calibri" w:cstheme="minorHAnsi"/>
          <w:lang w:val="en"/>
        </w:rPr>
        <w:t xml:space="preserve">The </w:t>
      </w:r>
      <w:r w:rsidRPr="00CB281F">
        <w:rPr>
          <w:rFonts w:eastAsia="Calibri" w:cstheme="minorHAnsi"/>
          <w:lang w:val="en"/>
        </w:rPr>
        <w:t>SisGen system was designed and developed to host all the compliance data defined by law 13,123/2015, further detailed by the Regulatory Decree 8,722/2016</w:t>
      </w:r>
      <w:r w:rsidRPr="00CB281F">
        <w:rPr>
          <w:rStyle w:val="EndnoteReference"/>
          <w:rFonts w:eastAsia="Calibri" w:cstheme="minorHAnsi"/>
          <w:lang w:val="en"/>
        </w:rPr>
        <w:endnoteReference w:id="9"/>
      </w:r>
      <w:r w:rsidRPr="00CB281F">
        <w:rPr>
          <w:rFonts w:eastAsia="Calibri" w:cstheme="minorHAnsi"/>
          <w:lang w:val="en"/>
        </w:rPr>
        <w:t xml:space="preserve">. </w:t>
      </w:r>
    </w:p>
    <w:p w14:paraId="70A76E6B" w14:textId="3402C72F" w:rsidR="002B5D4D" w:rsidRPr="00CB281F" w:rsidRDefault="00271D67" w:rsidP="002B5D4D">
      <w:pPr>
        <w:spacing w:line="257" w:lineRule="auto"/>
        <w:rPr>
          <w:rFonts w:eastAsia="Calibri" w:cstheme="minorHAnsi"/>
          <w:lang w:val="en"/>
        </w:rPr>
      </w:pPr>
      <w:r w:rsidRPr="00CB281F">
        <w:rPr>
          <w:rFonts w:eastAsia="Calibri" w:cstheme="minorHAnsi"/>
          <w:lang w:val="en"/>
        </w:rPr>
        <w:t>Data from the first ABS</w:t>
      </w:r>
      <w:r w:rsidR="002B5D4D" w:rsidRPr="00CB281F">
        <w:rPr>
          <w:rFonts w:eastAsia="Calibri" w:cstheme="minorHAnsi"/>
          <w:lang w:val="en"/>
        </w:rPr>
        <w:t xml:space="preserve"> policy that </w:t>
      </w:r>
      <w:r w:rsidR="001E6F38" w:rsidRPr="00CB281F">
        <w:rPr>
          <w:rFonts w:eastAsia="Calibri" w:cstheme="minorHAnsi"/>
          <w:lang w:val="en"/>
        </w:rPr>
        <w:t>was</w:t>
      </w:r>
      <w:r w:rsidRPr="00CB281F">
        <w:rPr>
          <w:rFonts w:eastAsia="Calibri" w:cstheme="minorHAnsi"/>
          <w:lang w:val="en"/>
        </w:rPr>
        <w:t xml:space="preserve"> in force from June 2000 to November 2015</w:t>
      </w:r>
      <w:r w:rsidR="002B5D4D" w:rsidRPr="00CB281F">
        <w:rPr>
          <w:rFonts w:eastAsia="Calibri" w:cstheme="minorHAnsi"/>
          <w:lang w:val="en"/>
        </w:rPr>
        <w:t>, has been included and taken into consideration to address fines and other consequences still</w:t>
      </w:r>
      <w:r w:rsidR="00C92D4A" w:rsidRPr="00CB281F">
        <w:rPr>
          <w:rFonts w:eastAsia="Calibri" w:cstheme="minorHAnsi"/>
          <w:lang w:val="en"/>
        </w:rPr>
        <w:t xml:space="preserve"> being prosecuted </w:t>
      </w:r>
      <w:r w:rsidR="002B5D4D" w:rsidRPr="00CB281F">
        <w:rPr>
          <w:rFonts w:eastAsia="Calibri" w:cstheme="minorHAnsi"/>
          <w:lang w:val="en"/>
        </w:rPr>
        <w:t xml:space="preserve">under the current ABS framework. </w:t>
      </w:r>
    </w:p>
    <w:p w14:paraId="0C3E6D62" w14:textId="36AEF20A" w:rsidR="00271D67" w:rsidRPr="00CB281F" w:rsidRDefault="002B5D4D" w:rsidP="77604A67">
      <w:pPr>
        <w:spacing w:line="257" w:lineRule="auto"/>
        <w:rPr>
          <w:rFonts w:eastAsia="Calibri" w:cstheme="minorHAnsi"/>
          <w:lang w:val="en"/>
        </w:rPr>
      </w:pPr>
      <w:r w:rsidRPr="00CB281F">
        <w:rPr>
          <w:rFonts w:eastAsia="Calibri" w:cstheme="minorHAnsi"/>
          <w:lang w:val="en"/>
        </w:rPr>
        <w:t xml:space="preserve">All </w:t>
      </w:r>
      <w:r w:rsidR="00271D67" w:rsidRPr="00CB281F">
        <w:rPr>
          <w:rFonts w:eastAsia="Calibri" w:cstheme="minorHAnsi"/>
          <w:lang w:val="en"/>
        </w:rPr>
        <w:t>data were obtained through direct request</w:t>
      </w:r>
      <w:r w:rsidRPr="00CB281F">
        <w:rPr>
          <w:rFonts w:eastAsia="Calibri" w:cstheme="minorHAnsi"/>
          <w:lang w:val="en"/>
        </w:rPr>
        <w:t>s</w:t>
      </w:r>
      <w:r w:rsidR="00271D67" w:rsidRPr="00CB281F">
        <w:rPr>
          <w:rFonts w:eastAsia="Calibri" w:cstheme="minorHAnsi"/>
          <w:lang w:val="en"/>
        </w:rPr>
        <w:t xml:space="preserve"> to the Brazilian authorities, by means of formal consultation mechanisms established by the Brazilian Law of Access to Information, or LAI</w:t>
      </w:r>
      <w:r w:rsidR="00271D67" w:rsidRPr="00CB281F">
        <w:rPr>
          <w:rStyle w:val="EndnoteReference"/>
          <w:rFonts w:eastAsia="Calibri" w:cstheme="minorHAnsi"/>
          <w:lang w:val="en"/>
        </w:rPr>
        <w:endnoteReference w:id="10"/>
      </w:r>
      <w:r w:rsidR="00271D67" w:rsidRPr="00CB281F">
        <w:rPr>
          <w:rFonts w:eastAsia="Calibri" w:cstheme="minorHAnsi"/>
          <w:lang w:val="en"/>
        </w:rPr>
        <w:t xml:space="preserve">. </w:t>
      </w:r>
      <w:r w:rsidR="00756849" w:rsidRPr="00CB281F">
        <w:rPr>
          <w:rFonts w:eastAsia="Calibri" w:cstheme="minorHAnsi"/>
          <w:lang w:val="en"/>
        </w:rPr>
        <w:t xml:space="preserve">Dr. </w:t>
      </w:r>
      <w:r w:rsidR="00271D67" w:rsidRPr="00CB281F">
        <w:rPr>
          <w:rFonts w:eastAsia="Calibri" w:cstheme="minorHAnsi"/>
          <w:lang w:val="en"/>
        </w:rPr>
        <w:t>Diana Jungmann, co-author of this paper, has independently requested, collected, and systematized that information for over 5 years</w:t>
      </w:r>
      <w:r w:rsidR="00A04BE8" w:rsidRPr="00CB281F">
        <w:rPr>
          <w:rFonts w:eastAsia="Calibri" w:cstheme="minorHAnsi"/>
          <w:lang w:val="en"/>
        </w:rPr>
        <w:t xml:space="preserve">. </w:t>
      </w:r>
    </w:p>
    <w:p w14:paraId="0E393F30" w14:textId="6D912676" w:rsidR="00271D67" w:rsidRPr="00CB281F" w:rsidRDefault="00A04BE8" w:rsidP="07D91B0E">
      <w:pPr>
        <w:spacing w:line="257" w:lineRule="auto"/>
        <w:rPr>
          <w:rFonts w:eastAsia="Calibri" w:cstheme="minorHAnsi"/>
          <w:lang w:val="en"/>
        </w:rPr>
      </w:pPr>
      <w:r w:rsidRPr="00CB281F">
        <w:rPr>
          <w:rFonts w:eastAsia="Calibri" w:cstheme="minorHAnsi"/>
          <w:noProof/>
          <w:lang w:val="en"/>
        </w:rPr>
        <mc:AlternateContent>
          <mc:Choice Requires="wps">
            <w:drawing>
              <wp:anchor distT="45720" distB="45720" distL="114300" distR="114300" simplePos="0" relativeHeight="251658243" behindDoc="0" locked="0" layoutInCell="1" allowOverlap="1" wp14:anchorId="018A0F3A" wp14:editId="54A8361D">
                <wp:simplePos x="0" y="0"/>
                <wp:positionH relativeFrom="column">
                  <wp:posOffset>24746</wp:posOffset>
                </wp:positionH>
                <wp:positionV relativeFrom="paragraph">
                  <wp:posOffset>272823</wp:posOffset>
                </wp:positionV>
                <wp:extent cx="1917065" cy="86614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7065" cy="866140"/>
                        </a:xfrm>
                        <a:prstGeom prst="rect">
                          <a:avLst/>
                        </a:prstGeom>
                        <a:solidFill>
                          <a:schemeClr val="accent1">
                            <a:lumMod val="20000"/>
                            <a:lumOff val="80000"/>
                          </a:schemeClr>
                        </a:solidFill>
                        <a:ln w="9525">
                          <a:noFill/>
                          <a:miter lim="800000"/>
                          <a:headEnd/>
                          <a:tailEnd/>
                        </a:ln>
                      </wps:spPr>
                      <wps:txbx>
                        <w:txbxContent>
                          <w:p w14:paraId="03D45467" w14:textId="12713613" w:rsidR="00271D67" w:rsidRPr="00814F59" w:rsidRDefault="00B64333">
                            <w:pPr>
                              <w:rPr>
                                <w:i/>
                                <w:iCs/>
                                <w:sz w:val="20"/>
                                <w:szCs w:val="20"/>
                              </w:rPr>
                            </w:pPr>
                            <w:r w:rsidRPr="00814F59">
                              <w:rPr>
                                <w:i/>
                                <w:iCs/>
                                <w:sz w:val="20"/>
                                <w:szCs w:val="20"/>
                              </w:rPr>
                              <w:t xml:space="preserve">The </w:t>
                            </w:r>
                            <w:r w:rsidR="00271D67" w:rsidRPr="00814F59">
                              <w:rPr>
                                <w:i/>
                                <w:iCs/>
                                <w:sz w:val="20"/>
                                <w:szCs w:val="20"/>
                              </w:rPr>
                              <w:t>Freedom of Information Act is a powerful t</w:t>
                            </w:r>
                            <w:r w:rsidRPr="00814F59">
                              <w:rPr>
                                <w:i/>
                                <w:iCs/>
                                <w:sz w:val="20"/>
                                <w:szCs w:val="20"/>
                              </w:rPr>
                              <w:t>o</w:t>
                            </w:r>
                            <w:r w:rsidR="00271D67" w:rsidRPr="00814F59">
                              <w:rPr>
                                <w:i/>
                                <w:iCs/>
                                <w:sz w:val="20"/>
                                <w:szCs w:val="20"/>
                              </w:rPr>
                              <w:t>o</w:t>
                            </w:r>
                            <w:r w:rsidRPr="00814F59">
                              <w:rPr>
                                <w:i/>
                                <w:iCs/>
                                <w:sz w:val="20"/>
                                <w:szCs w:val="20"/>
                              </w:rPr>
                              <w:t>l to</w:t>
                            </w:r>
                            <w:r w:rsidR="00271D67" w:rsidRPr="00814F59">
                              <w:rPr>
                                <w:i/>
                                <w:iCs/>
                                <w:sz w:val="20"/>
                                <w:szCs w:val="20"/>
                              </w:rPr>
                              <w:t xml:space="preserve"> foster transparency, governance, and accountability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A0F3A" id="_x0000_s1028" type="#_x0000_t202" style="position:absolute;margin-left:1.95pt;margin-top:21.5pt;width:150.95pt;height:68.2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" fillcolor="#d9e2f3 [660]" stroked="f">
                <v:textbox>
                  <w:txbxContent>
                    <w:p w14:paraId="03D45467" w14:textId="12713613" w:rsidR="00271D67" w:rsidRPr="00814F59" w:rsidRDefault="00B64333">
                      <w:pPr>
                        <w:rPr>
                          <w:i/>
                          <w:iCs/>
                          <w:sz w:val="20"/>
                          <w:szCs w:val="20"/>
                        </w:rPr>
                      </w:pPr>
                      <w:r w:rsidRPr="00814F59">
                        <w:rPr>
                          <w:i/>
                          <w:iCs/>
                          <w:sz w:val="20"/>
                          <w:szCs w:val="20"/>
                        </w:rPr>
                        <w:t xml:space="preserve">The </w:t>
                      </w:r>
                      <w:r w:rsidR="00271D67" w:rsidRPr="00814F59">
                        <w:rPr>
                          <w:i/>
                          <w:iCs/>
                          <w:sz w:val="20"/>
                          <w:szCs w:val="20"/>
                        </w:rPr>
                        <w:t>Freedom of Information Act is a powerful t</w:t>
                      </w:r>
                      <w:r w:rsidRPr="00814F59">
                        <w:rPr>
                          <w:i/>
                          <w:iCs/>
                          <w:sz w:val="20"/>
                          <w:szCs w:val="20"/>
                        </w:rPr>
                        <w:t>o</w:t>
                      </w:r>
                      <w:r w:rsidR="00271D67" w:rsidRPr="00814F59">
                        <w:rPr>
                          <w:i/>
                          <w:iCs/>
                          <w:sz w:val="20"/>
                          <w:szCs w:val="20"/>
                        </w:rPr>
                        <w:t>o</w:t>
                      </w:r>
                      <w:r w:rsidRPr="00814F59">
                        <w:rPr>
                          <w:i/>
                          <w:iCs/>
                          <w:sz w:val="20"/>
                          <w:szCs w:val="20"/>
                        </w:rPr>
                        <w:t>l to</w:t>
                      </w:r>
                      <w:r w:rsidR="00271D67" w:rsidRPr="00814F59">
                        <w:rPr>
                          <w:i/>
                          <w:iCs/>
                          <w:sz w:val="20"/>
                          <w:szCs w:val="20"/>
                        </w:rPr>
                        <w:t xml:space="preserve"> foster transparency, governance, and accountability   </w:t>
                      </w:r>
                    </w:p>
                  </w:txbxContent>
                </v:textbox>
                <w10:wrap type="square"/>
              </v:shape>
            </w:pict>
          </mc:Fallback>
        </mc:AlternateContent>
      </w:r>
      <w:r w:rsidR="00271D67" w:rsidRPr="00CB281F">
        <w:rPr>
          <w:rFonts w:eastAsia="Calibri" w:cstheme="minorHAnsi"/>
          <w:lang w:val="en"/>
        </w:rPr>
        <w:t xml:space="preserve">The raw data </w:t>
      </w:r>
      <w:r w:rsidR="001C7126" w:rsidRPr="00CB281F">
        <w:rPr>
          <w:rFonts w:eastAsia="Calibri" w:cstheme="minorHAnsi"/>
          <w:lang w:val="en"/>
        </w:rPr>
        <w:t xml:space="preserve">was </w:t>
      </w:r>
      <w:r w:rsidR="00271D67" w:rsidRPr="00CB281F">
        <w:rPr>
          <w:rFonts w:eastAsia="Calibri" w:cstheme="minorHAnsi"/>
          <w:lang w:val="en"/>
        </w:rPr>
        <w:t xml:space="preserve">received from the Brazilian Ministry of the Environment, Ministry of Agriculture, Ministry of Science and Technology, Brazilian Navy and from the Brazilian Institute of the Environment and Renewable Natural Resources (IBAMA). The full disclosure of over 50 requests for information and 5 appeals due to incomplete responses, covering protocol numbers, dates and </w:t>
      </w:r>
      <w:r w:rsidRPr="00CB281F">
        <w:rPr>
          <w:rFonts w:eastAsia="Calibri" w:cstheme="minorHAnsi"/>
          <w:lang w:val="en"/>
        </w:rPr>
        <w:t xml:space="preserve">the </w:t>
      </w:r>
      <w:r w:rsidR="00271D67" w:rsidRPr="00CB281F">
        <w:rPr>
          <w:rFonts w:eastAsia="Calibri" w:cstheme="minorHAnsi"/>
          <w:lang w:val="en"/>
        </w:rPr>
        <w:t xml:space="preserve">authorities </w:t>
      </w:r>
      <w:r w:rsidR="0026157C" w:rsidRPr="00CB281F">
        <w:rPr>
          <w:rFonts w:eastAsia="Calibri" w:cstheme="minorHAnsi"/>
          <w:lang w:val="en"/>
        </w:rPr>
        <w:t xml:space="preserve">involved </w:t>
      </w:r>
      <w:r w:rsidR="00271D67" w:rsidRPr="00CB281F">
        <w:rPr>
          <w:rFonts w:eastAsia="Calibri" w:cstheme="minorHAnsi"/>
          <w:lang w:val="en"/>
        </w:rPr>
        <w:t xml:space="preserve">are presented </w:t>
      </w:r>
      <w:r w:rsidRPr="00CB281F">
        <w:rPr>
          <w:rFonts w:eastAsia="Calibri" w:cstheme="minorHAnsi"/>
          <w:lang w:val="en"/>
        </w:rPr>
        <w:t>in</w:t>
      </w:r>
      <w:r w:rsidR="00271D67" w:rsidRPr="00CB281F">
        <w:rPr>
          <w:rFonts w:eastAsia="Calibri" w:cstheme="minorHAnsi"/>
          <w:lang w:val="en"/>
        </w:rPr>
        <w:t xml:space="preserve"> Appendix A. </w:t>
      </w:r>
    </w:p>
    <w:p w14:paraId="2180B543" w14:textId="09508EE7" w:rsidR="00271D67" w:rsidRPr="00CB281F" w:rsidRDefault="00E60EF9" w:rsidP="00E60EF9">
      <w:pPr>
        <w:rPr>
          <w:rFonts w:cstheme="minorHAnsi"/>
        </w:rPr>
      </w:pPr>
      <w:r w:rsidRPr="00CB281F">
        <w:rPr>
          <w:rFonts w:eastAsia="Calibri" w:cstheme="minorHAnsi"/>
          <w:lang w:val="en"/>
        </w:rPr>
        <w:t>Table I shows that a</w:t>
      </w:r>
      <w:r w:rsidR="00271D67" w:rsidRPr="00CB281F">
        <w:rPr>
          <w:rFonts w:eastAsia="Calibri" w:cstheme="minorHAnsi"/>
          <w:lang w:val="en"/>
        </w:rPr>
        <w:t>part from SisGen and the Brazilian LAI, other sources of national and international public information</w:t>
      </w:r>
      <w:r w:rsidR="00A04BE8" w:rsidRPr="00CB281F">
        <w:rPr>
          <w:rFonts w:eastAsia="Calibri" w:cstheme="minorHAnsi"/>
          <w:lang w:val="en"/>
        </w:rPr>
        <w:t xml:space="preserve"> were accessed</w:t>
      </w:r>
      <w:r w:rsidR="0026157C" w:rsidRPr="00CB281F">
        <w:rPr>
          <w:rFonts w:eastAsia="Calibri" w:cstheme="minorHAnsi"/>
          <w:lang w:val="en"/>
        </w:rPr>
        <w:t>:</w:t>
      </w:r>
      <w:r w:rsidRPr="00CB281F">
        <w:rPr>
          <w:rFonts w:eastAsia="Calibri" w:cstheme="minorHAnsi"/>
          <w:lang w:val="en"/>
        </w:rPr>
        <w:t xml:space="preserve"> </w:t>
      </w:r>
      <w:r w:rsidR="00C92D4A" w:rsidRPr="00CB281F">
        <w:rPr>
          <w:rFonts w:eastAsia="Calibri" w:cstheme="minorHAnsi"/>
          <w:lang w:val="en"/>
        </w:rPr>
        <w:t>e.g.,</w:t>
      </w:r>
      <w:r w:rsidR="001E6F38" w:rsidRPr="00CB281F">
        <w:rPr>
          <w:rFonts w:eastAsia="Calibri" w:cstheme="minorHAnsi"/>
          <w:lang w:val="en"/>
        </w:rPr>
        <w:t xml:space="preserve"> </w:t>
      </w:r>
      <w:r w:rsidRPr="00CB281F">
        <w:rPr>
          <w:rFonts w:eastAsia="Calibri" w:cstheme="minorHAnsi"/>
          <w:lang w:val="en"/>
        </w:rPr>
        <w:t>the</w:t>
      </w:r>
      <w:r w:rsidRPr="00CB281F">
        <w:rPr>
          <w:rFonts w:eastAsia="Calibri" w:cstheme="minorHAnsi"/>
          <w:i/>
          <w:iCs/>
          <w:lang w:val="en"/>
        </w:rPr>
        <w:t xml:space="preserve"> </w:t>
      </w:r>
      <w:r w:rsidRPr="00CB281F">
        <w:rPr>
          <w:rFonts w:eastAsia="Calibri" w:cstheme="minorHAnsi"/>
          <w:lang w:val="en"/>
        </w:rPr>
        <w:t>Brazilian Transparency Portal</w:t>
      </w:r>
      <w:r w:rsidRPr="00CB281F">
        <w:rPr>
          <w:rStyle w:val="EndnoteReference"/>
          <w:rFonts w:eastAsia="Calibri" w:cstheme="minorHAnsi"/>
          <w:lang w:val="en"/>
        </w:rPr>
        <w:endnoteReference w:id="11"/>
      </w:r>
      <w:r w:rsidRPr="00CB281F">
        <w:rPr>
          <w:rFonts w:eastAsia="Calibri" w:cstheme="minorHAnsi"/>
          <w:lang w:val="en"/>
        </w:rPr>
        <w:t xml:space="preserve"> and </w:t>
      </w:r>
      <w:r w:rsidR="0026157C" w:rsidRPr="00CB281F">
        <w:rPr>
          <w:rFonts w:eastAsia="Calibri" w:cstheme="minorHAnsi"/>
          <w:lang w:val="en"/>
        </w:rPr>
        <w:t xml:space="preserve">the </w:t>
      </w:r>
      <w:r w:rsidRPr="00CB281F">
        <w:rPr>
          <w:rFonts w:eastAsia="Calibri" w:cstheme="minorHAnsi"/>
          <w:lang w:val="en"/>
        </w:rPr>
        <w:t>CBD Status of Contributions website</w:t>
      </w:r>
      <w:r w:rsidRPr="00CB281F">
        <w:rPr>
          <w:rStyle w:val="EndnoteReference"/>
          <w:rFonts w:eastAsia="Calibri" w:cstheme="minorHAnsi"/>
          <w:lang w:val="en"/>
        </w:rPr>
        <w:endnoteReference w:id="12"/>
      </w:r>
      <w:r w:rsidRPr="00CB281F">
        <w:rPr>
          <w:rFonts w:eastAsia="Calibri" w:cstheme="minorHAnsi"/>
          <w:lang w:val="en"/>
        </w:rPr>
        <w:t>.</w:t>
      </w:r>
    </w:p>
    <w:p w14:paraId="3D587022" w14:textId="5506A984" w:rsidR="00271D67" w:rsidRPr="00CB281F" w:rsidRDefault="00271D67" w:rsidP="5590ED66">
      <w:pPr>
        <w:spacing w:line="257" w:lineRule="auto"/>
        <w:rPr>
          <w:rFonts w:cstheme="minorHAnsi"/>
          <w:i/>
          <w:iCs/>
        </w:rPr>
      </w:pPr>
      <w:r w:rsidRPr="00CB281F">
        <w:rPr>
          <w:rFonts w:eastAsia="Calibri" w:cstheme="minorHAnsi"/>
          <w:b/>
          <w:bCs/>
          <w:i/>
          <w:iCs/>
        </w:rPr>
        <w:lastRenderedPageBreak/>
        <w:t>Table I</w:t>
      </w:r>
      <w:r w:rsidRPr="00CB281F">
        <w:rPr>
          <w:rFonts w:eastAsia="Calibri" w:cstheme="minorHAnsi"/>
          <w:i/>
          <w:iCs/>
        </w:rPr>
        <w:t>. Source of public data used in the study.</w:t>
      </w:r>
    </w:p>
    <w:tbl>
      <w:tblPr>
        <w:tblStyle w:val="TableGrid"/>
        <w:tblW w:w="0" w:type="auto"/>
        <w:tblLayout w:type="fixed"/>
        <w:tblLook w:val="04A0" w:firstRow="1" w:lastRow="0" w:firstColumn="1" w:lastColumn="0" w:noHBand="0" w:noVBand="1"/>
      </w:tblPr>
      <w:tblGrid>
        <w:gridCol w:w="3960"/>
        <w:gridCol w:w="4530"/>
      </w:tblGrid>
      <w:tr w:rsidR="00F519EF" w:rsidRPr="00F519EF" w14:paraId="4688275A" w14:textId="77777777" w:rsidTr="007B2BD4">
        <w:trPr>
          <w:trHeight w:val="315"/>
        </w:trPr>
        <w:tc>
          <w:tcPr>
            <w:tcW w:w="39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6867C5D0" w14:textId="750D950D" w:rsidR="00271D67" w:rsidRPr="00F519EF" w:rsidRDefault="00271D67" w:rsidP="149DF5FE">
            <w:pPr>
              <w:jc w:val="center"/>
              <w:rPr>
                <w:color w:val="FFFFFF" w:themeColor="background1"/>
              </w:rPr>
            </w:pPr>
            <w:r w:rsidRPr="00F519EF">
              <w:rPr>
                <w:rFonts w:ascii="Calibri" w:eastAsia="Calibri" w:hAnsi="Calibri" w:cs="Calibri"/>
                <w:b/>
                <w:bCs/>
                <w:color w:val="FFFFFF" w:themeColor="background1"/>
                <w:sz w:val="20"/>
                <w:szCs w:val="20"/>
              </w:rPr>
              <w:t>Source of Data</w:t>
            </w:r>
          </w:p>
        </w:tc>
        <w:tc>
          <w:tcPr>
            <w:tcW w:w="453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7FEB4B55" w14:textId="30182545" w:rsidR="00271D67" w:rsidRPr="00F519EF" w:rsidRDefault="00271D67" w:rsidP="149DF5FE">
            <w:pPr>
              <w:jc w:val="center"/>
              <w:rPr>
                <w:color w:val="FFFFFF" w:themeColor="background1"/>
              </w:rPr>
            </w:pPr>
            <w:r w:rsidRPr="00F519EF">
              <w:rPr>
                <w:rFonts w:ascii="Calibri" w:eastAsia="Calibri" w:hAnsi="Calibri" w:cs="Calibri"/>
                <w:b/>
                <w:bCs/>
                <w:color w:val="FFFFFF" w:themeColor="background1"/>
                <w:sz w:val="20"/>
                <w:szCs w:val="20"/>
              </w:rPr>
              <w:t>Internet Link</w:t>
            </w:r>
          </w:p>
        </w:tc>
      </w:tr>
      <w:tr w:rsidR="00271D67" w:rsidRPr="006C4CE2" w14:paraId="60EBBDDC" w14:textId="77777777" w:rsidTr="007B2BD4">
        <w:trPr>
          <w:trHeight w:val="360"/>
        </w:trPr>
        <w:tc>
          <w:tcPr>
            <w:tcW w:w="3960" w:type="dxa"/>
            <w:tcBorders>
              <w:top w:val="single" w:sz="18" w:space="0" w:color="FFFFFF" w:themeColor="background1"/>
              <w:left w:val="nil"/>
              <w:bottom w:val="single" w:sz="2" w:space="0" w:color="0070C0"/>
              <w:right w:val="single" w:sz="2" w:space="0" w:color="0070C0"/>
            </w:tcBorders>
          </w:tcPr>
          <w:p w14:paraId="603065AB" w14:textId="3ED9D330" w:rsidR="00271D67" w:rsidRPr="006C4CE2" w:rsidRDefault="00271D67">
            <w:r w:rsidRPr="006C4CE2">
              <w:rPr>
                <w:rFonts w:ascii="Calibri" w:eastAsia="Calibri" w:hAnsi="Calibri" w:cs="Calibri"/>
                <w:sz w:val="20"/>
                <w:szCs w:val="20"/>
              </w:rPr>
              <w:t>Federal Government Law on Access Information Portal</w:t>
            </w:r>
          </w:p>
        </w:tc>
        <w:tc>
          <w:tcPr>
            <w:tcW w:w="4530" w:type="dxa"/>
            <w:tcBorders>
              <w:top w:val="single" w:sz="18" w:space="0" w:color="FFFFFF" w:themeColor="background1"/>
              <w:left w:val="single" w:sz="2" w:space="0" w:color="0070C0"/>
              <w:bottom w:val="single" w:sz="2" w:space="0" w:color="0070C0"/>
              <w:right w:val="nil"/>
            </w:tcBorders>
          </w:tcPr>
          <w:p w14:paraId="37C3542F" w14:textId="5428CA90" w:rsidR="00271D67" w:rsidRPr="006C4CE2" w:rsidRDefault="00000000">
            <w:hyperlink r:id="rId8">
              <w:r w:rsidR="00271D67" w:rsidRPr="006C4CE2">
                <w:rPr>
                  <w:rStyle w:val="Hyperlink"/>
                  <w:rFonts w:ascii="Calibri" w:eastAsia="Calibri" w:hAnsi="Calibri" w:cs="Calibri"/>
                  <w:sz w:val="20"/>
                  <w:szCs w:val="20"/>
                </w:rPr>
                <w:t>https://www.gov.br/acessoainformacao/pt-br</w:t>
              </w:r>
            </w:hyperlink>
          </w:p>
        </w:tc>
      </w:tr>
      <w:tr w:rsidR="00271D67" w:rsidRPr="006C4CE2" w14:paraId="5918B3FF" w14:textId="77777777" w:rsidTr="007B2BD4">
        <w:trPr>
          <w:trHeight w:val="360"/>
        </w:trPr>
        <w:tc>
          <w:tcPr>
            <w:tcW w:w="3960" w:type="dxa"/>
            <w:tcBorders>
              <w:top w:val="single" w:sz="2" w:space="0" w:color="0070C0"/>
              <w:left w:val="nil"/>
              <w:bottom w:val="single" w:sz="2" w:space="0" w:color="0070C0"/>
              <w:right w:val="single" w:sz="2" w:space="0" w:color="0070C0"/>
            </w:tcBorders>
          </w:tcPr>
          <w:p w14:paraId="128BAFF5" w14:textId="4FE140E2" w:rsidR="00271D67" w:rsidRPr="006C4CE2" w:rsidRDefault="00271D67">
            <w:r w:rsidRPr="006C4CE2">
              <w:rPr>
                <w:rFonts w:ascii="Calibri" w:eastAsia="Calibri" w:hAnsi="Calibri" w:cs="Calibri"/>
                <w:sz w:val="20"/>
                <w:szCs w:val="20"/>
              </w:rPr>
              <w:t>Federal Government Transparency Portal</w:t>
            </w:r>
          </w:p>
        </w:tc>
        <w:tc>
          <w:tcPr>
            <w:tcW w:w="4530" w:type="dxa"/>
            <w:tcBorders>
              <w:top w:val="single" w:sz="2" w:space="0" w:color="0070C0"/>
              <w:left w:val="single" w:sz="2" w:space="0" w:color="0070C0"/>
              <w:bottom w:val="single" w:sz="2" w:space="0" w:color="0070C0"/>
              <w:right w:val="nil"/>
            </w:tcBorders>
          </w:tcPr>
          <w:p w14:paraId="61EEEDCF" w14:textId="4F59BB13" w:rsidR="00271D67" w:rsidRPr="006C4CE2" w:rsidRDefault="00000000">
            <w:hyperlink r:id="rId9">
              <w:r w:rsidR="00271D67" w:rsidRPr="006C4CE2">
                <w:rPr>
                  <w:rStyle w:val="Hyperlink"/>
                  <w:rFonts w:ascii="Calibri" w:eastAsia="Calibri" w:hAnsi="Calibri" w:cs="Calibri"/>
                  <w:sz w:val="20"/>
                  <w:szCs w:val="20"/>
                </w:rPr>
                <w:t>https://www.portaltransparencia.gov.br/</w:t>
              </w:r>
            </w:hyperlink>
            <w:r w:rsidR="00271D67" w:rsidRPr="006C4CE2">
              <w:rPr>
                <w:rFonts w:ascii="Calibri" w:eastAsia="Calibri" w:hAnsi="Calibri" w:cs="Calibri"/>
                <w:sz w:val="20"/>
                <w:szCs w:val="20"/>
              </w:rPr>
              <w:t xml:space="preserve">  </w:t>
            </w:r>
          </w:p>
        </w:tc>
      </w:tr>
      <w:tr w:rsidR="00271D67" w:rsidRPr="006C4CE2" w14:paraId="75D20698" w14:textId="77777777" w:rsidTr="007B2BD4">
        <w:trPr>
          <w:trHeight w:val="360"/>
        </w:trPr>
        <w:tc>
          <w:tcPr>
            <w:tcW w:w="3960" w:type="dxa"/>
            <w:tcBorders>
              <w:top w:val="single" w:sz="2" w:space="0" w:color="0070C0"/>
              <w:left w:val="nil"/>
              <w:bottom w:val="single" w:sz="2" w:space="0" w:color="0070C0"/>
              <w:right w:val="single" w:sz="2" w:space="0" w:color="0070C0"/>
            </w:tcBorders>
          </w:tcPr>
          <w:p w14:paraId="2332023D" w14:textId="382D6FDD" w:rsidR="00271D67" w:rsidRPr="006C4CE2" w:rsidRDefault="00271D67">
            <w:r w:rsidRPr="006C4CE2">
              <w:rPr>
                <w:rFonts w:ascii="Calibri" w:eastAsia="Calibri" w:hAnsi="Calibri" w:cs="Calibri"/>
                <w:sz w:val="20"/>
                <w:szCs w:val="20"/>
              </w:rPr>
              <w:t>Data Sebrae</w:t>
            </w:r>
          </w:p>
        </w:tc>
        <w:tc>
          <w:tcPr>
            <w:tcW w:w="4530" w:type="dxa"/>
            <w:tcBorders>
              <w:top w:val="single" w:sz="2" w:space="0" w:color="0070C0"/>
              <w:left w:val="single" w:sz="2" w:space="0" w:color="0070C0"/>
              <w:bottom w:val="single" w:sz="2" w:space="0" w:color="0070C0"/>
              <w:right w:val="nil"/>
            </w:tcBorders>
          </w:tcPr>
          <w:p w14:paraId="7D6331D1" w14:textId="4A627F03" w:rsidR="00271D67" w:rsidRPr="006C4CE2" w:rsidRDefault="00000000">
            <w:hyperlink r:id="rId10">
              <w:r w:rsidR="00271D67" w:rsidRPr="006C4CE2">
                <w:rPr>
                  <w:rStyle w:val="Hyperlink"/>
                  <w:rFonts w:ascii="Calibri" w:eastAsia="Calibri" w:hAnsi="Calibri" w:cs="Calibri"/>
                  <w:sz w:val="20"/>
                  <w:szCs w:val="20"/>
                </w:rPr>
                <w:t>https://datasebraeindicadores.sebrae.com.br/resources/sites/data-sebrae/data-sebrae.html</w:t>
              </w:r>
            </w:hyperlink>
          </w:p>
        </w:tc>
      </w:tr>
      <w:tr w:rsidR="00271D67" w:rsidRPr="006C4CE2" w14:paraId="1A2B2A6E" w14:textId="77777777" w:rsidTr="007B2BD4">
        <w:trPr>
          <w:trHeight w:val="360"/>
        </w:trPr>
        <w:tc>
          <w:tcPr>
            <w:tcW w:w="3960" w:type="dxa"/>
            <w:tcBorders>
              <w:top w:val="single" w:sz="2" w:space="0" w:color="0070C0"/>
              <w:left w:val="nil"/>
              <w:bottom w:val="single" w:sz="2" w:space="0" w:color="0070C0"/>
              <w:right w:val="single" w:sz="2" w:space="0" w:color="0070C0"/>
            </w:tcBorders>
          </w:tcPr>
          <w:p w14:paraId="1683CD6F" w14:textId="2E2A8D74" w:rsidR="00271D67" w:rsidRPr="006C4CE2" w:rsidRDefault="00271D67">
            <w:r w:rsidRPr="006C4CE2">
              <w:rPr>
                <w:rFonts w:ascii="Calibri" w:eastAsia="Calibri" w:hAnsi="Calibri" w:cs="Calibri"/>
                <w:sz w:val="20"/>
                <w:szCs w:val="20"/>
              </w:rPr>
              <w:t>The Convention on Biological Diversity</w:t>
            </w:r>
          </w:p>
        </w:tc>
        <w:tc>
          <w:tcPr>
            <w:tcW w:w="4530" w:type="dxa"/>
            <w:tcBorders>
              <w:top w:val="single" w:sz="2" w:space="0" w:color="0070C0"/>
              <w:left w:val="single" w:sz="2" w:space="0" w:color="0070C0"/>
              <w:bottom w:val="single" w:sz="2" w:space="0" w:color="0070C0"/>
              <w:right w:val="nil"/>
            </w:tcBorders>
          </w:tcPr>
          <w:p w14:paraId="1E20E9C4" w14:textId="0B112BA1" w:rsidR="00271D67" w:rsidRPr="006C4CE2" w:rsidRDefault="00000000">
            <w:hyperlink r:id="rId11">
              <w:r w:rsidR="00271D67" w:rsidRPr="006C4CE2">
                <w:rPr>
                  <w:rStyle w:val="Hyperlink"/>
                  <w:rFonts w:ascii="Calibri" w:eastAsia="Calibri" w:hAnsi="Calibri" w:cs="Calibri"/>
                  <w:sz w:val="20"/>
                  <w:szCs w:val="20"/>
                </w:rPr>
                <w:t>https://www.cbd.int/convention/</w:t>
              </w:r>
            </w:hyperlink>
          </w:p>
        </w:tc>
      </w:tr>
    </w:tbl>
    <w:p w14:paraId="19960061" w14:textId="08964915" w:rsidR="00271D67" w:rsidRPr="006C4CE2" w:rsidRDefault="00271D67" w:rsidP="5590ED66">
      <w:pPr>
        <w:spacing w:line="257" w:lineRule="auto"/>
      </w:pPr>
      <w:r w:rsidRPr="006C4CE2">
        <w:rPr>
          <w:rFonts w:ascii="Calibri" w:eastAsia="Calibri" w:hAnsi="Calibri" w:cs="Calibri"/>
        </w:rPr>
        <w:t xml:space="preserve"> </w:t>
      </w:r>
    </w:p>
    <w:p w14:paraId="5D3A7494" w14:textId="2BDC46BB" w:rsidR="00271D67" w:rsidRDefault="00271D67" w:rsidP="006E211E">
      <w:r w:rsidRPr="006C4CE2">
        <w:t xml:space="preserve">Appendix B presents </w:t>
      </w:r>
      <w:r>
        <w:t>the</w:t>
      </w:r>
      <w:r w:rsidRPr="006C4CE2">
        <w:t xml:space="preserve"> list of questions addressed to </w:t>
      </w:r>
      <w:r w:rsidR="00A04BE8">
        <w:t xml:space="preserve">the </w:t>
      </w:r>
      <w:r w:rsidRPr="006C4CE2">
        <w:t xml:space="preserve">authorities via LAI requests aiming to get compliance data </w:t>
      </w:r>
      <w:r>
        <w:t>on</w:t>
      </w:r>
      <w:r w:rsidRPr="006C4CE2">
        <w:t xml:space="preserve"> the Brazilian ABS legislation</w:t>
      </w:r>
      <w:r w:rsidR="00A04BE8">
        <w:t>.</w:t>
      </w:r>
    </w:p>
    <w:p w14:paraId="22D2E07C" w14:textId="77777777" w:rsidR="00271D67" w:rsidRDefault="00271D67" w:rsidP="0029224F">
      <w:pPr>
        <w:pStyle w:val="Heading2"/>
        <w:ind w:left="1080"/>
      </w:pPr>
      <w:bookmarkStart w:id="4" w:name="_Hlk116406687"/>
      <w:bookmarkEnd w:id="4"/>
    </w:p>
    <w:p w14:paraId="2DFEC408" w14:textId="0A84ABAC" w:rsidR="00271D67" w:rsidRPr="00CC26C1" w:rsidRDefault="00A04BE8" w:rsidP="0026157C">
      <w:pPr>
        <w:pStyle w:val="Heading2"/>
        <w:ind w:firstLine="720"/>
        <w:rPr>
          <w:color w:val="0070C0"/>
        </w:rPr>
      </w:pPr>
      <w:r w:rsidRPr="0026157C">
        <w:rPr>
          <w:color w:val="0070C0"/>
        </w:rPr>
        <w:t xml:space="preserve">2.2 </w:t>
      </w:r>
      <w:r w:rsidR="00271D67" w:rsidRPr="0026157C">
        <w:rPr>
          <w:color w:val="0070C0"/>
        </w:rPr>
        <w:t>Cost-</w:t>
      </w:r>
      <w:r w:rsidR="00C016D0" w:rsidRPr="0026157C">
        <w:rPr>
          <w:color w:val="0070C0"/>
        </w:rPr>
        <w:t>benefit analysis</w:t>
      </w:r>
    </w:p>
    <w:p w14:paraId="1B4BEF6F" w14:textId="77777777" w:rsidR="00271D67" w:rsidRDefault="00271D67" w:rsidP="07D91B0E">
      <w:pPr>
        <w:rPr>
          <w:rFonts w:ascii="Calibri" w:eastAsia="Calibri" w:hAnsi="Calibri" w:cs="Calibri"/>
        </w:rPr>
      </w:pPr>
    </w:p>
    <w:p w14:paraId="4E9735B7" w14:textId="4415D03E" w:rsidR="00271D67" w:rsidRPr="00814F59" w:rsidRDefault="00271D67" w:rsidP="07D91B0E">
      <w:pPr>
        <w:rPr>
          <w:rFonts w:eastAsia="Calibri" w:cstheme="minorHAnsi"/>
        </w:rPr>
      </w:pPr>
      <w:r w:rsidRPr="00814F59">
        <w:rPr>
          <w:rFonts w:eastAsia="Calibri" w:cstheme="minorHAnsi"/>
        </w:rPr>
        <w:t xml:space="preserve">Cost-benefit analysis (CBA) is a well-established and widely used approach for collecting, organizing, and analyzing information on policy. The rationale behind applying CBA in policy making is to ensure that society’s scarce resources are allocated efficiently so that societal welfare is improved. The cost-benefit analysis involves tallying up all costs of a policy and </w:t>
      </w:r>
      <w:r w:rsidR="0026157C" w:rsidRPr="00814F59">
        <w:rPr>
          <w:rFonts w:eastAsia="Calibri" w:cstheme="minorHAnsi"/>
        </w:rPr>
        <w:t xml:space="preserve">comparing </w:t>
      </w:r>
      <w:r w:rsidRPr="00814F59">
        <w:rPr>
          <w:rFonts w:eastAsia="Calibri" w:cstheme="minorHAnsi"/>
        </w:rPr>
        <w:t xml:space="preserve">that amount </w:t>
      </w:r>
      <w:r w:rsidR="0026157C" w:rsidRPr="00814F59">
        <w:rPr>
          <w:rFonts w:eastAsia="Calibri" w:cstheme="minorHAnsi"/>
        </w:rPr>
        <w:t>with</w:t>
      </w:r>
      <w:r w:rsidRPr="00814F59">
        <w:rPr>
          <w:rFonts w:eastAsia="Calibri" w:cstheme="minorHAnsi"/>
        </w:rPr>
        <w:t xml:space="preserve"> the total policy benefits</w:t>
      </w:r>
      <w:r w:rsidR="0026157C" w:rsidRPr="00814F59">
        <w:rPr>
          <w:rFonts w:eastAsia="Calibri" w:cstheme="minorHAnsi"/>
        </w:rPr>
        <w:t>.</w:t>
      </w:r>
      <w:r w:rsidRPr="00814F59">
        <w:rPr>
          <w:rFonts w:eastAsia="Calibri" w:cstheme="minorHAnsi"/>
        </w:rPr>
        <w:t xml:space="preserve"> If the benefits outweigh the costs, the policy is providing positive results and impact. If, on the other hand, the costs outweigh the benefits, then authorities may want to rethink the policy</w:t>
      </w:r>
      <w:r w:rsidRPr="00814F59">
        <w:rPr>
          <w:rStyle w:val="EndnoteReference"/>
          <w:rFonts w:eastAsia="Calibri" w:cstheme="minorHAnsi"/>
        </w:rPr>
        <w:endnoteReference w:id="13"/>
      </w:r>
      <w:r w:rsidRPr="00814F59">
        <w:rPr>
          <w:rFonts w:eastAsia="Calibri" w:cstheme="minorHAnsi"/>
        </w:rPr>
        <w:t>.</w:t>
      </w:r>
    </w:p>
    <w:p w14:paraId="27BF788A" w14:textId="7F295B35" w:rsidR="00271D67" w:rsidRPr="00814F59" w:rsidRDefault="00271D67" w:rsidP="00BA164C">
      <w:pPr>
        <w:rPr>
          <w:rFonts w:eastAsia="Calibri" w:cstheme="minorHAnsi"/>
        </w:rPr>
      </w:pPr>
      <w:r w:rsidRPr="00814F59">
        <w:rPr>
          <w:rFonts w:eastAsia="Calibri" w:cstheme="minorHAnsi"/>
          <w:noProof/>
        </w:rPr>
        <mc:AlternateContent>
          <mc:Choice Requires="wps">
            <w:drawing>
              <wp:anchor distT="45720" distB="45720" distL="114300" distR="114300" simplePos="0" relativeHeight="251658244" behindDoc="0" locked="0" layoutInCell="1" allowOverlap="1" wp14:anchorId="12FCB66A" wp14:editId="63C32D19">
                <wp:simplePos x="0" y="0"/>
                <wp:positionH relativeFrom="column">
                  <wp:posOffset>-8890</wp:posOffset>
                </wp:positionH>
                <wp:positionV relativeFrom="paragraph">
                  <wp:posOffset>331470</wp:posOffset>
                </wp:positionV>
                <wp:extent cx="1910080" cy="101727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0080" cy="1017270"/>
                        </a:xfrm>
                        <a:prstGeom prst="rect">
                          <a:avLst/>
                        </a:prstGeom>
                        <a:solidFill>
                          <a:schemeClr val="accent1">
                            <a:lumMod val="20000"/>
                            <a:lumOff val="80000"/>
                          </a:schemeClr>
                        </a:solidFill>
                        <a:ln w="9525">
                          <a:noFill/>
                          <a:miter lim="800000"/>
                          <a:headEnd/>
                          <a:tailEnd/>
                        </a:ln>
                      </wps:spPr>
                      <wps:txbx>
                        <w:txbxContent>
                          <w:p w14:paraId="65DC3022" w14:textId="0C033AFF" w:rsidR="00271D67" w:rsidRPr="00814F59" w:rsidRDefault="00271D67">
                            <w:pPr>
                              <w:rPr>
                                <w:i/>
                                <w:iCs/>
                                <w:sz w:val="20"/>
                                <w:szCs w:val="20"/>
                              </w:rPr>
                            </w:pPr>
                            <w:r w:rsidRPr="00814F59">
                              <w:rPr>
                                <w:i/>
                                <w:iCs/>
                                <w:sz w:val="20"/>
                                <w:szCs w:val="20"/>
                              </w:rPr>
                              <w:t>Cost-benefit analysis (CBA) is a well-established and widely used approach for collecting, organizing, and analyzing information on a policy.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FCB66A" id="_x0000_s1029" type="#_x0000_t202" style="position:absolute;margin-left:-.7pt;margin-top:26.1pt;width:150.4pt;height:80.1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" fillcolor="#d9e2f3 [660]" stroked="f">
                <v:textbox>
                  <w:txbxContent>
                    <w:p w14:paraId="65DC3022" w14:textId="0C033AFF" w:rsidR="00271D67" w:rsidRPr="00814F59" w:rsidRDefault="00271D67">
                      <w:pPr>
                        <w:rPr>
                          <w:i/>
                          <w:iCs/>
                          <w:sz w:val="20"/>
                          <w:szCs w:val="20"/>
                        </w:rPr>
                      </w:pPr>
                      <w:r w:rsidRPr="00814F59">
                        <w:rPr>
                          <w:i/>
                          <w:iCs/>
                          <w:sz w:val="20"/>
                          <w:szCs w:val="20"/>
                        </w:rPr>
                        <w:t>Cost-benefit analysis (CBA) is a well-established and widely used approach for collecting, organizing, and analyzing information on a policy.</w:t>
                      </w:r>
                    </w:p>
                  </w:txbxContent>
                </v:textbox>
                <w10:wrap type="square"/>
              </v:shape>
            </w:pict>
          </mc:Fallback>
        </mc:AlternateContent>
      </w:r>
      <w:r w:rsidRPr="00814F59">
        <w:rPr>
          <w:rFonts w:eastAsia="Calibri" w:cstheme="minorHAnsi"/>
        </w:rPr>
        <w:t>In the United States, President Bill Clinton made cost-benefit analysis mandatory in 1993, as a mechanism capable of guiding public managers' decisions between different policy alternatives</w:t>
      </w:r>
      <w:r w:rsidRPr="00814F59">
        <w:rPr>
          <w:rStyle w:val="EndnoteReference"/>
          <w:rFonts w:eastAsia="Calibri" w:cstheme="minorHAnsi"/>
        </w:rPr>
        <w:endnoteReference w:id="14"/>
      </w:r>
      <w:r w:rsidRPr="00814F59">
        <w:rPr>
          <w:rFonts w:eastAsia="Calibri" w:cstheme="minorHAnsi"/>
        </w:rPr>
        <w:t>. Its use is, however, controversial. In favor of CBA is</w:t>
      </w:r>
      <w:r w:rsidR="00305EE8" w:rsidRPr="00814F59">
        <w:rPr>
          <w:rFonts w:eastAsia="Calibri" w:cstheme="minorHAnsi"/>
        </w:rPr>
        <w:t xml:space="preserve"> its</w:t>
      </w:r>
      <w:r w:rsidRPr="00814F59">
        <w:rPr>
          <w:rFonts w:eastAsia="Calibri" w:cstheme="minorHAnsi"/>
        </w:rPr>
        <w:t xml:space="preserve"> relative simplicity when compared to more sophisticated methods, such as those based on transaction costs, which are sometimes difficult to identify and measure</w:t>
      </w:r>
      <w:r w:rsidR="00507172" w:rsidRPr="00814F59">
        <w:rPr>
          <w:rFonts w:eastAsia="Calibri" w:cstheme="minorHAnsi"/>
        </w:rPr>
        <w:t>.</w:t>
      </w:r>
      <w:r w:rsidR="0087410A" w:rsidRPr="00814F59">
        <w:rPr>
          <w:rFonts w:eastAsia="Calibri" w:cstheme="minorHAnsi"/>
        </w:rPr>
        <w:t xml:space="preserve"> </w:t>
      </w:r>
      <w:r w:rsidR="00142B38" w:rsidRPr="00814F59">
        <w:rPr>
          <w:rFonts w:eastAsia="Calibri" w:cstheme="minorHAnsi"/>
        </w:rPr>
        <w:t>W</w:t>
      </w:r>
      <w:r w:rsidRPr="00814F59">
        <w:rPr>
          <w:rFonts w:eastAsia="Calibri" w:cstheme="minorHAnsi"/>
        </w:rPr>
        <w:t xml:space="preserve">hen the main costs or benefits </w:t>
      </w:r>
      <w:r w:rsidR="00554CC9" w:rsidRPr="00814F59">
        <w:rPr>
          <w:rFonts w:eastAsia="Calibri" w:cstheme="minorHAnsi"/>
        </w:rPr>
        <w:t xml:space="preserve">of the policy at issue </w:t>
      </w:r>
      <w:r w:rsidRPr="00814F59">
        <w:rPr>
          <w:rFonts w:eastAsia="Calibri" w:cstheme="minorHAnsi"/>
        </w:rPr>
        <w:t xml:space="preserve">are of an intangible nature, their assessment can become excessively subjective, in the sense of being dependent on the monetary valuation that the analyst associates with assets that cannot be priced in the markets. Values ​​associated with the preservation of biodiversity could fall into this category, which would point to difficulties in using the CBA to assess the CBD's legal framework. </w:t>
      </w:r>
    </w:p>
    <w:p w14:paraId="7997A53F" w14:textId="61859151" w:rsidR="00271D67" w:rsidRPr="00814F59" w:rsidRDefault="00AD7D2F" w:rsidP="00305EE8">
      <w:pPr>
        <w:rPr>
          <w:rFonts w:eastAsia="Calibri" w:cstheme="minorHAnsi"/>
        </w:rPr>
      </w:pPr>
      <w:r w:rsidRPr="00814F59">
        <w:rPr>
          <w:rFonts w:eastAsia="Calibri" w:cstheme="minorHAnsi"/>
        </w:rPr>
        <w:t xml:space="preserve">The authors of this study advocate that </w:t>
      </w:r>
      <w:r w:rsidR="00C96C9C" w:rsidRPr="00814F59">
        <w:rPr>
          <w:rFonts w:eastAsia="Calibri" w:cstheme="minorHAnsi"/>
        </w:rPr>
        <w:t xml:space="preserve">those </w:t>
      </w:r>
      <w:r w:rsidR="00B16B74" w:rsidRPr="00814F59">
        <w:rPr>
          <w:rFonts w:eastAsia="Calibri" w:cstheme="minorHAnsi"/>
        </w:rPr>
        <w:t xml:space="preserve">difficulties do not arise </w:t>
      </w:r>
      <w:r w:rsidR="00271D67" w:rsidRPr="00814F59">
        <w:rPr>
          <w:rFonts w:eastAsia="Calibri" w:cstheme="minorHAnsi"/>
        </w:rPr>
        <w:t xml:space="preserve">in the </w:t>
      </w:r>
      <w:r w:rsidR="00B16B74" w:rsidRPr="00814F59">
        <w:rPr>
          <w:rFonts w:eastAsia="Calibri" w:cstheme="minorHAnsi"/>
        </w:rPr>
        <w:t xml:space="preserve">evaluation of </w:t>
      </w:r>
      <w:r w:rsidR="0026157C" w:rsidRPr="00814F59">
        <w:rPr>
          <w:rFonts w:eastAsia="Calibri" w:cstheme="minorHAnsi"/>
        </w:rPr>
        <w:t xml:space="preserve">the </w:t>
      </w:r>
      <w:r w:rsidR="00271D67" w:rsidRPr="00814F59">
        <w:rPr>
          <w:rFonts w:eastAsia="Calibri" w:cstheme="minorHAnsi"/>
        </w:rPr>
        <w:t>Brazilian ABS policy</w:t>
      </w:r>
      <w:r w:rsidR="00305EE8" w:rsidRPr="00814F59">
        <w:rPr>
          <w:rFonts w:eastAsia="Calibri" w:cstheme="minorHAnsi"/>
        </w:rPr>
        <w:t xml:space="preserve"> analyzed in this paper. Rather, conventional CBA analysis seems to be </w:t>
      </w:r>
      <w:r w:rsidR="0026157C" w:rsidRPr="00814F59">
        <w:rPr>
          <w:rFonts w:eastAsia="Calibri" w:cstheme="minorHAnsi"/>
        </w:rPr>
        <w:t>well</w:t>
      </w:r>
      <w:r w:rsidR="00305EE8" w:rsidRPr="00814F59">
        <w:rPr>
          <w:rFonts w:eastAsia="Calibri" w:cstheme="minorHAnsi"/>
        </w:rPr>
        <w:t xml:space="preserve"> suited for addressing and providing answers to the main questions raised in this </w:t>
      </w:r>
      <w:r w:rsidR="0026157C" w:rsidRPr="00814F59">
        <w:rPr>
          <w:rFonts w:eastAsia="Calibri" w:cstheme="minorHAnsi"/>
        </w:rPr>
        <w:t>study</w:t>
      </w:r>
      <w:r w:rsidR="00305EE8" w:rsidRPr="00814F59">
        <w:rPr>
          <w:rFonts w:eastAsia="Calibri" w:cstheme="minorHAnsi"/>
        </w:rPr>
        <w:t xml:space="preserve">. </w:t>
      </w:r>
    </w:p>
    <w:p w14:paraId="5645AC4C" w14:textId="4EF6BA7E" w:rsidR="00271D67" w:rsidRPr="00814F59" w:rsidRDefault="00271D67" w:rsidP="07D91B0E">
      <w:pPr>
        <w:rPr>
          <w:rFonts w:eastAsia="Calibri" w:cstheme="minorHAnsi"/>
        </w:rPr>
      </w:pPr>
      <w:r w:rsidRPr="00814F59">
        <w:rPr>
          <w:rFonts w:eastAsia="Calibri" w:cstheme="minorHAnsi"/>
        </w:rPr>
        <w:t>The belief relies on the prescriptive nature of the legislation itself. A systematic reading of the Brazilian legal framework allows us to infer that</w:t>
      </w:r>
      <w:r w:rsidR="0026157C" w:rsidRPr="00814F59">
        <w:rPr>
          <w:rFonts w:eastAsia="Calibri" w:cstheme="minorHAnsi"/>
        </w:rPr>
        <w:t xml:space="preserve"> </w:t>
      </w:r>
      <w:r w:rsidRPr="00814F59">
        <w:rPr>
          <w:rFonts w:eastAsia="Calibri" w:cstheme="minorHAnsi"/>
        </w:rPr>
        <w:t xml:space="preserve">the purpose of the CBD of preserving biodiversity is </w:t>
      </w:r>
      <w:r w:rsidR="0026157C" w:rsidRPr="00814F59">
        <w:rPr>
          <w:rFonts w:eastAsia="Calibri" w:cstheme="minorHAnsi"/>
        </w:rPr>
        <w:t>translated</w:t>
      </w:r>
      <w:r w:rsidR="00305EE8" w:rsidRPr="00814F59">
        <w:rPr>
          <w:rFonts w:eastAsia="Calibri" w:cstheme="minorHAnsi"/>
        </w:rPr>
        <w:t xml:space="preserve"> </w:t>
      </w:r>
      <w:r w:rsidR="00942A6F" w:rsidRPr="00814F59">
        <w:rPr>
          <w:rFonts w:eastAsia="Calibri" w:cstheme="minorHAnsi"/>
        </w:rPr>
        <w:t>in</w:t>
      </w:r>
      <w:r w:rsidR="0026157C" w:rsidRPr="00814F59">
        <w:rPr>
          <w:rFonts w:eastAsia="Calibri" w:cstheme="minorHAnsi"/>
        </w:rPr>
        <w:t>to</w:t>
      </w:r>
      <w:r w:rsidR="00305EE8" w:rsidRPr="00814F59">
        <w:rPr>
          <w:rFonts w:eastAsia="Calibri" w:cstheme="minorHAnsi"/>
        </w:rPr>
        <w:t xml:space="preserve"> </w:t>
      </w:r>
      <w:r w:rsidRPr="00814F59">
        <w:rPr>
          <w:rFonts w:eastAsia="Calibri" w:cstheme="minorHAnsi"/>
        </w:rPr>
        <w:t xml:space="preserve">two mechanisms </w:t>
      </w:r>
      <w:r w:rsidR="00493C2B" w:rsidRPr="00814F59">
        <w:rPr>
          <w:rFonts w:eastAsia="Calibri" w:cstheme="minorHAnsi"/>
        </w:rPr>
        <w:t xml:space="preserve">whose </w:t>
      </w:r>
      <w:r w:rsidR="003803D8" w:rsidRPr="00814F59">
        <w:rPr>
          <w:rFonts w:eastAsia="Calibri" w:cstheme="minorHAnsi"/>
        </w:rPr>
        <w:t xml:space="preserve">effective results are </w:t>
      </w:r>
      <w:r w:rsidRPr="00814F59">
        <w:rPr>
          <w:rFonts w:eastAsia="Calibri" w:cstheme="minorHAnsi"/>
        </w:rPr>
        <w:t>easy to measure</w:t>
      </w:r>
      <w:r w:rsidR="0026157C" w:rsidRPr="00814F59">
        <w:rPr>
          <w:rFonts w:eastAsia="Calibri" w:cstheme="minorHAnsi"/>
        </w:rPr>
        <w:t xml:space="preserve"> objectively</w:t>
      </w:r>
      <w:r w:rsidRPr="00814F59">
        <w:rPr>
          <w:rFonts w:eastAsia="Calibri" w:cstheme="minorHAnsi"/>
        </w:rPr>
        <w:t>, which are</w:t>
      </w:r>
      <w:r w:rsidR="00F338F5" w:rsidRPr="00814F59">
        <w:rPr>
          <w:rFonts w:eastAsia="Calibri" w:cstheme="minorHAnsi"/>
        </w:rPr>
        <w:t>:</w:t>
      </w:r>
      <w:r w:rsidRPr="00814F59">
        <w:rPr>
          <w:rFonts w:eastAsia="Calibri" w:cstheme="minorHAnsi"/>
        </w:rPr>
        <w:t xml:space="preserve"> (1) the</w:t>
      </w:r>
      <w:r w:rsidR="009005E6" w:rsidRPr="00814F59">
        <w:rPr>
          <w:rFonts w:eastAsia="Calibri" w:cstheme="minorHAnsi"/>
        </w:rPr>
        <w:t xml:space="preserve"> detailed</w:t>
      </w:r>
      <w:r w:rsidRPr="00814F59">
        <w:rPr>
          <w:rFonts w:eastAsia="Calibri" w:cstheme="minorHAnsi"/>
        </w:rPr>
        <w:t xml:space="preserve"> </w:t>
      </w:r>
      <w:r w:rsidR="0065163E" w:rsidRPr="00814F59">
        <w:rPr>
          <w:rFonts w:eastAsia="Calibri" w:cstheme="minorHAnsi"/>
        </w:rPr>
        <w:t xml:space="preserve">information </w:t>
      </w:r>
      <w:r w:rsidR="003F4DA1" w:rsidRPr="00814F59">
        <w:rPr>
          <w:rFonts w:eastAsia="Calibri" w:cstheme="minorHAnsi"/>
        </w:rPr>
        <w:t>on</w:t>
      </w:r>
      <w:r w:rsidR="0026157C" w:rsidRPr="00814F59">
        <w:rPr>
          <w:rFonts w:eastAsia="Calibri" w:cstheme="minorHAnsi"/>
        </w:rPr>
        <w:t xml:space="preserve"> all activities of users to </w:t>
      </w:r>
      <w:r w:rsidRPr="00814F59">
        <w:rPr>
          <w:rFonts w:eastAsia="Calibri" w:cstheme="minorHAnsi"/>
        </w:rPr>
        <w:t xml:space="preserve">access Brazilian GH/ATK from </w:t>
      </w:r>
      <w:r w:rsidRPr="00814F59">
        <w:rPr>
          <w:rFonts w:eastAsia="Calibri" w:cstheme="minorHAnsi"/>
          <w:i/>
          <w:iCs/>
        </w:rPr>
        <w:t>in situ</w:t>
      </w:r>
      <w:r w:rsidR="00942A6F" w:rsidRPr="00814F59">
        <w:rPr>
          <w:rFonts w:eastAsia="Calibri" w:cstheme="minorHAnsi"/>
        </w:rPr>
        <w:t>,</w:t>
      </w:r>
      <w:r w:rsidRPr="00814F59">
        <w:rPr>
          <w:rFonts w:eastAsia="Calibri" w:cstheme="minorHAnsi"/>
        </w:rPr>
        <w:t xml:space="preserve"> </w:t>
      </w:r>
      <w:r w:rsidRPr="00814F59">
        <w:rPr>
          <w:rFonts w:eastAsia="Calibri" w:cstheme="minorHAnsi"/>
          <w:i/>
          <w:iCs/>
        </w:rPr>
        <w:t xml:space="preserve">ex </w:t>
      </w:r>
      <w:r w:rsidRPr="00814F59">
        <w:rPr>
          <w:rFonts w:eastAsia="Calibri" w:cstheme="minorHAnsi"/>
          <w:i/>
          <w:iCs/>
        </w:rPr>
        <w:lastRenderedPageBreak/>
        <w:t>situ</w:t>
      </w:r>
      <w:r w:rsidRPr="00814F59">
        <w:rPr>
          <w:rFonts w:eastAsia="Calibri" w:cstheme="minorHAnsi"/>
        </w:rPr>
        <w:t xml:space="preserve"> and</w:t>
      </w:r>
      <w:r w:rsidRPr="00814F59">
        <w:rPr>
          <w:rFonts w:eastAsia="Calibri" w:cstheme="minorHAnsi"/>
          <w:i/>
          <w:iCs/>
        </w:rPr>
        <w:t xml:space="preserve"> in silico </w:t>
      </w:r>
      <w:r w:rsidRPr="00814F59">
        <w:rPr>
          <w:rFonts w:eastAsia="Calibri" w:cstheme="minorHAnsi"/>
        </w:rPr>
        <w:t xml:space="preserve"> (including digital sequence information or DSI) origins</w:t>
      </w:r>
      <w:r w:rsidR="003E76BE" w:rsidRPr="00814F59">
        <w:rPr>
          <w:rFonts w:eastAsia="Calibri" w:cstheme="minorHAnsi"/>
        </w:rPr>
        <w:t xml:space="preserve">, either </w:t>
      </w:r>
      <w:r w:rsidRPr="00814F59">
        <w:rPr>
          <w:rFonts w:eastAsia="Calibri" w:cstheme="minorHAnsi"/>
        </w:rPr>
        <w:t>for scientific, technological or commercial purposes</w:t>
      </w:r>
      <w:r w:rsidR="00D17905" w:rsidRPr="00814F59">
        <w:rPr>
          <w:rFonts w:eastAsia="Calibri" w:cstheme="minorHAnsi"/>
        </w:rPr>
        <w:t>;</w:t>
      </w:r>
      <w:r w:rsidR="005D00F3" w:rsidRPr="00814F59">
        <w:rPr>
          <w:rFonts w:eastAsia="Calibri" w:cstheme="minorHAnsi"/>
        </w:rPr>
        <w:t xml:space="preserve"> </w:t>
      </w:r>
      <w:r w:rsidRPr="00814F59">
        <w:rPr>
          <w:rFonts w:eastAsia="Calibri" w:cstheme="minorHAnsi"/>
        </w:rPr>
        <w:t>and (2) t</w:t>
      </w:r>
      <w:r w:rsidR="00305EE8" w:rsidRPr="00814F59">
        <w:rPr>
          <w:rFonts w:eastAsia="Calibri" w:cstheme="minorHAnsi"/>
        </w:rPr>
        <w:t>h</w:t>
      </w:r>
      <w:r w:rsidR="001E6F9E" w:rsidRPr="00814F59">
        <w:rPr>
          <w:rFonts w:eastAsia="Calibri" w:cstheme="minorHAnsi"/>
        </w:rPr>
        <w:t xml:space="preserve">e </w:t>
      </w:r>
      <w:r w:rsidR="001C7126" w:rsidRPr="00814F59">
        <w:rPr>
          <w:rFonts w:eastAsia="Calibri" w:cstheme="minorHAnsi"/>
        </w:rPr>
        <w:t xml:space="preserve">non-monetary and </w:t>
      </w:r>
      <w:r w:rsidR="001E6F9E" w:rsidRPr="00814F59">
        <w:rPr>
          <w:rFonts w:eastAsia="Calibri" w:cstheme="minorHAnsi"/>
        </w:rPr>
        <w:t xml:space="preserve">monetary value of the benefits </w:t>
      </w:r>
      <w:r w:rsidRPr="00814F59">
        <w:rPr>
          <w:rFonts w:eastAsia="Calibri" w:cstheme="minorHAnsi"/>
        </w:rPr>
        <w:t xml:space="preserve">shared </w:t>
      </w:r>
      <w:r w:rsidR="00713B5A" w:rsidRPr="00814F59">
        <w:rPr>
          <w:rFonts w:eastAsia="Calibri" w:cstheme="minorHAnsi"/>
        </w:rPr>
        <w:t>by users of the Brazilian biodiversity with the government and</w:t>
      </w:r>
      <w:r w:rsidR="00553B0F" w:rsidRPr="00814F59">
        <w:rPr>
          <w:rFonts w:eastAsia="Calibri" w:cstheme="minorHAnsi"/>
        </w:rPr>
        <w:t>/or</w:t>
      </w:r>
      <w:r w:rsidR="00713B5A" w:rsidRPr="00814F59">
        <w:rPr>
          <w:rFonts w:eastAsia="Calibri" w:cstheme="minorHAnsi"/>
        </w:rPr>
        <w:t xml:space="preserve"> directly </w:t>
      </w:r>
      <w:r w:rsidR="006528D4" w:rsidRPr="00814F59">
        <w:rPr>
          <w:rFonts w:eastAsia="Calibri" w:cstheme="minorHAnsi"/>
        </w:rPr>
        <w:t>with the traditional communities</w:t>
      </w:r>
      <w:r w:rsidR="00713B5A" w:rsidRPr="00814F59">
        <w:rPr>
          <w:rFonts w:eastAsia="Calibri" w:cstheme="minorHAnsi"/>
        </w:rPr>
        <w:t xml:space="preserve">, </w:t>
      </w:r>
      <w:r w:rsidRPr="00814F59">
        <w:rPr>
          <w:rFonts w:eastAsia="Calibri" w:cstheme="minorHAnsi"/>
        </w:rPr>
        <w:t>according to the law</w:t>
      </w:r>
      <w:r w:rsidR="00B04564" w:rsidRPr="00814F59">
        <w:rPr>
          <w:rFonts w:eastAsia="Calibri" w:cstheme="minorHAnsi"/>
        </w:rPr>
        <w:t>’</w:t>
      </w:r>
      <w:r w:rsidRPr="00814F59">
        <w:rPr>
          <w:rFonts w:eastAsia="Calibri" w:cstheme="minorHAnsi"/>
        </w:rPr>
        <w:t>s provision</w:t>
      </w:r>
      <w:r w:rsidR="00B04564" w:rsidRPr="00814F59">
        <w:rPr>
          <w:rFonts w:eastAsia="Calibri" w:cstheme="minorHAnsi"/>
        </w:rPr>
        <w:t>s</w:t>
      </w:r>
      <w:r w:rsidRPr="00814F59">
        <w:rPr>
          <w:rFonts w:eastAsia="Calibri" w:cstheme="minorHAnsi"/>
        </w:rPr>
        <w:t xml:space="preserve"> so that, in part, they are destined for the </w:t>
      </w:r>
      <w:r w:rsidR="00553B0F" w:rsidRPr="00814F59">
        <w:rPr>
          <w:rFonts w:eastAsia="Calibri" w:cstheme="minorHAnsi"/>
        </w:rPr>
        <w:t xml:space="preserve">conservation </w:t>
      </w:r>
      <w:r w:rsidRPr="00814F59">
        <w:rPr>
          <w:rFonts w:eastAsia="Calibri" w:cstheme="minorHAnsi"/>
        </w:rPr>
        <w:t>and for the development of sustainable uses of the biodiversity</w:t>
      </w:r>
      <w:r w:rsidR="00806738" w:rsidRPr="00814F59">
        <w:rPr>
          <w:rFonts w:eastAsia="Calibri" w:cstheme="minorHAnsi"/>
        </w:rPr>
        <w:t xml:space="preserve">. </w:t>
      </w:r>
    </w:p>
    <w:p w14:paraId="50A40145" w14:textId="502711EB" w:rsidR="00271D67" w:rsidRPr="00814F59" w:rsidRDefault="00271D67" w:rsidP="00BA164C">
      <w:pPr>
        <w:rPr>
          <w:rFonts w:eastAsia="Calibri" w:cstheme="minorHAnsi"/>
        </w:rPr>
      </w:pPr>
      <w:r w:rsidRPr="00814F59">
        <w:rPr>
          <w:rFonts w:eastAsia="Calibri" w:cstheme="minorHAnsi"/>
        </w:rPr>
        <w:t>The benefit measurement is indeed simple in this case, as</w:t>
      </w:r>
      <w:r w:rsidR="002101FE" w:rsidRPr="00814F59">
        <w:rPr>
          <w:rFonts w:eastAsia="Calibri" w:cstheme="minorHAnsi"/>
        </w:rPr>
        <w:t xml:space="preserve"> </w:t>
      </w:r>
      <w:r w:rsidRPr="00814F59">
        <w:rPr>
          <w:rFonts w:eastAsia="Calibri" w:cstheme="minorHAnsi"/>
        </w:rPr>
        <w:t>the contribution</w:t>
      </w:r>
      <w:r w:rsidR="00034950" w:rsidRPr="00814F59">
        <w:rPr>
          <w:rFonts w:eastAsia="Calibri" w:cstheme="minorHAnsi"/>
        </w:rPr>
        <w:t>s</w:t>
      </w:r>
      <w:r w:rsidRPr="00814F59">
        <w:rPr>
          <w:rFonts w:eastAsia="Calibri" w:cstheme="minorHAnsi"/>
        </w:rPr>
        <w:t xml:space="preserve"> expected from the ABS policy </w:t>
      </w:r>
      <w:r w:rsidR="00E519E6" w:rsidRPr="00814F59">
        <w:rPr>
          <w:rFonts w:eastAsia="Calibri" w:cstheme="minorHAnsi"/>
        </w:rPr>
        <w:t>are</w:t>
      </w:r>
      <w:r w:rsidRPr="00814F59">
        <w:rPr>
          <w:rFonts w:eastAsia="Calibri" w:cstheme="minorHAnsi"/>
        </w:rPr>
        <w:t xml:space="preserve"> the supplementary financing of biodiversity </w:t>
      </w:r>
      <w:r w:rsidR="00B84FA6" w:rsidRPr="00814F59">
        <w:rPr>
          <w:rFonts w:eastAsia="Calibri" w:cstheme="minorHAnsi"/>
        </w:rPr>
        <w:t xml:space="preserve">preservation-related </w:t>
      </w:r>
      <w:r w:rsidR="005B786F" w:rsidRPr="00814F59">
        <w:rPr>
          <w:rFonts w:eastAsia="Calibri" w:cstheme="minorHAnsi"/>
        </w:rPr>
        <w:t xml:space="preserve">projects </w:t>
      </w:r>
      <w:r w:rsidRPr="00814F59">
        <w:rPr>
          <w:rFonts w:eastAsia="Calibri" w:cstheme="minorHAnsi"/>
        </w:rPr>
        <w:t xml:space="preserve">through </w:t>
      </w:r>
      <w:r w:rsidR="005B786F" w:rsidRPr="00814F59">
        <w:rPr>
          <w:rFonts w:eastAsia="Calibri" w:cstheme="minorHAnsi"/>
        </w:rPr>
        <w:t>the National Benefit Sharing Fund</w:t>
      </w:r>
      <w:r w:rsidR="003C6E8C" w:rsidRPr="00814F59">
        <w:rPr>
          <w:rFonts w:eastAsia="Calibri" w:cstheme="minorHAnsi"/>
        </w:rPr>
        <w:t xml:space="preserve"> (NBSF) and </w:t>
      </w:r>
      <w:r w:rsidR="00EE0E51" w:rsidRPr="00814F59">
        <w:rPr>
          <w:rFonts w:eastAsia="Calibri" w:cstheme="minorHAnsi"/>
        </w:rPr>
        <w:t>t</w:t>
      </w:r>
      <w:r w:rsidRPr="00814F59">
        <w:rPr>
          <w:rFonts w:eastAsia="Calibri" w:cstheme="minorHAnsi"/>
        </w:rPr>
        <w:t xml:space="preserve">he </w:t>
      </w:r>
      <w:r w:rsidR="00EE0E51" w:rsidRPr="00814F59">
        <w:rPr>
          <w:rFonts w:eastAsia="Calibri" w:cstheme="minorHAnsi"/>
        </w:rPr>
        <w:t xml:space="preserve">non-monetary </w:t>
      </w:r>
      <w:r w:rsidRPr="00814F59">
        <w:rPr>
          <w:rFonts w:eastAsia="Calibri" w:cstheme="minorHAnsi"/>
        </w:rPr>
        <w:t xml:space="preserve">benefit-sharing (BS) </w:t>
      </w:r>
      <w:r w:rsidR="00067C49" w:rsidRPr="00814F59">
        <w:rPr>
          <w:rFonts w:eastAsia="Calibri" w:cstheme="minorHAnsi"/>
        </w:rPr>
        <w:t>projects</w:t>
      </w:r>
      <w:r w:rsidRPr="00814F59">
        <w:rPr>
          <w:rFonts w:eastAsia="Calibri" w:cstheme="minorHAnsi"/>
        </w:rPr>
        <w:t xml:space="preserve">. </w:t>
      </w:r>
      <w:r w:rsidR="00F27981" w:rsidRPr="00814F59">
        <w:rPr>
          <w:rFonts w:eastAsia="Calibri" w:cstheme="minorHAnsi"/>
        </w:rPr>
        <w:t>The total amount of those resources</w:t>
      </w:r>
      <w:r w:rsidRPr="00814F59">
        <w:rPr>
          <w:rFonts w:eastAsia="Calibri" w:cstheme="minorHAnsi"/>
        </w:rPr>
        <w:t xml:space="preserve"> is thus a maximum ceiling of the total benefits generated by the policy. </w:t>
      </w:r>
    </w:p>
    <w:p w14:paraId="58D65E5E" w14:textId="7DBF84C8" w:rsidR="00DC79F1" w:rsidRPr="00814F59" w:rsidRDefault="00271D67" w:rsidP="00D67457">
      <w:pPr>
        <w:rPr>
          <w:rFonts w:eastAsia="Calibri" w:cstheme="minorHAnsi"/>
        </w:rPr>
      </w:pPr>
      <w:r w:rsidRPr="00814F59">
        <w:rPr>
          <w:rFonts w:eastAsia="Calibri" w:cstheme="minorHAnsi"/>
        </w:rPr>
        <w:t>Part of the costs directly associated with the ABS legislation can also be easily computed. The Brazilian</w:t>
      </w:r>
      <w:r w:rsidR="00B04564" w:rsidRPr="00814F59">
        <w:rPr>
          <w:rFonts w:eastAsia="Calibri" w:cstheme="minorHAnsi"/>
        </w:rPr>
        <w:t xml:space="preserve"> ABS</w:t>
      </w:r>
      <w:r w:rsidRPr="00814F59">
        <w:rPr>
          <w:rFonts w:eastAsia="Calibri" w:cstheme="minorHAnsi"/>
        </w:rPr>
        <w:t xml:space="preserve"> </w:t>
      </w:r>
      <w:r w:rsidR="00C92D4A" w:rsidRPr="00814F59">
        <w:rPr>
          <w:rFonts w:eastAsia="Calibri" w:cstheme="minorHAnsi"/>
        </w:rPr>
        <w:t xml:space="preserve">framework </w:t>
      </w:r>
      <w:r w:rsidRPr="00814F59">
        <w:rPr>
          <w:rFonts w:eastAsia="Calibri" w:cstheme="minorHAnsi"/>
        </w:rPr>
        <w:t>defines clearly which actions are required from government agents</w:t>
      </w:r>
      <w:r w:rsidR="00656CCE" w:rsidRPr="00814F59">
        <w:rPr>
          <w:rFonts w:eastAsia="Calibri" w:cstheme="minorHAnsi"/>
        </w:rPr>
        <w:t xml:space="preserve">, </w:t>
      </w:r>
      <w:r w:rsidR="009978C5" w:rsidRPr="00814F59">
        <w:rPr>
          <w:rFonts w:eastAsia="Calibri" w:cstheme="minorHAnsi"/>
        </w:rPr>
        <w:t xml:space="preserve">individuals, </w:t>
      </w:r>
      <w:r w:rsidR="00656CCE" w:rsidRPr="00814F59">
        <w:rPr>
          <w:rFonts w:eastAsia="Calibri" w:cstheme="minorHAnsi"/>
        </w:rPr>
        <w:t>research institutions</w:t>
      </w:r>
      <w:r w:rsidR="009978C5" w:rsidRPr="00814F59">
        <w:rPr>
          <w:rFonts w:eastAsia="Calibri" w:cstheme="minorHAnsi"/>
        </w:rPr>
        <w:t>, and businesses</w:t>
      </w:r>
      <w:r w:rsidRPr="00814F59">
        <w:rPr>
          <w:rFonts w:eastAsia="Calibri" w:cstheme="minorHAnsi"/>
        </w:rPr>
        <w:t xml:space="preserve"> to assure full compliance, making it possible to establish a minimum floor in the estimation of total costs required for compliance. They consist, without further consideration, of the expenses incurred by governmental bodies, to guarantee the operation and enforcement of the legal framework, and by GH/ATK users to bear the obligations introduced by it. The public part of the cost was estimated in this work, based on the information provided by the authorities. </w:t>
      </w:r>
    </w:p>
    <w:p w14:paraId="1615B2EA" w14:textId="5D852340" w:rsidR="00DC79F1" w:rsidRPr="00814F59" w:rsidRDefault="00DC79F1" w:rsidP="004C0024">
      <w:pPr>
        <w:rPr>
          <w:rFonts w:eastAsia="Calibri" w:cstheme="minorHAnsi"/>
        </w:rPr>
      </w:pPr>
      <w:r w:rsidRPr="00814F59">
        <w:rPr>
          <w:rFonts w:eastAsia="Calibri" w:cstheme="minorHAnsi"/>
        </w:rPr>
        <w:t xml:space="preserve">The monetary costs of the </w:t>
      </w:r>
      <w:r w:rsidR="00271D67" w:rsidRPr="00814F59">
        <w:rPr>
          <w:rFonts w:eastAsia="Calibri" w:cstheme="minorHAnsi"/>
        </w:rPr>
        <w:t xml:space="preserve">Brazilian ABS policy </w:t>
      </w:r>
      <w:r w:rsidRPr="00814F59">
        <w:rPr>
          <w:rFonts w:eastAsia="Calibri" w:cstheme="minorHAnsi"/>
        </w:rPr>
        <w:t>covered in this paper include</w:t>
      </w:r>
      <w:r w:rsidR="003939F3" w:rsidRPr="00814F59">
        <w:rPr>
          <w:rFonts w:eastAsia="Calibri" w:cstheme="minorHAnsi"/>
        </w:rPr>
        <w:t xml:space="preserve"> the following operational costs</w:t>
      </w:r>
      <w:r w:rsidRPr="00814F59">
        <w:rPr>
          <w:rFonts w:eastAsia="Calibri" w:cstheme="minorHAnsi"/>
        </w:rPr>
        <w:t xml:space="preserve">: </w:t>
      </w:r>
    </w:p>
    <w:p w14:paraId="12EDD172" w14:textId="4BB229F2" w:rsidR="00DC79F1" w:rsidRPr="00814F59" w:rsidRDefault="00DC79F1">
      <w:pPr>
        <w:pStyle w:val="ListParagraph"/>
        <w:numPr>
          <w:ilvl w:val="0"/>
          <w:numId w:val="4"/>
        </w:numPr>
        <w:rPr>
          <w:rFonts w:eastAsia="Calibri" w:cstheme="minorHAnsi"/>
        </w:rPr>
      </w:pPr>
      <w:r w:rsidRPr="00814F59">
        <w:rPr>
          <w:rFonts w:eastAsia="Calibri" w:cstheme="minorHAnsi"/>
        </w:rPr>
        <w:t>Genetic Heritage Department (GHD) personnel remuneration</w:t>
      </w:r>
    </w:p>
    <w:p w14:paraId="4888B24B" w14:textId="68359E73" w:rsidR="00DC79F1" w:rsidRPr="00814F59" w:rsidRDefault="00DC79F1">
      <w:pPr>
        <w:pStyle w:val="ListParagraph"/>
        <w:numPr>
          <w:ilvl w:val="0"/>
          <w:numId w:val="4"/>
        </w:numPr>
        <w:rPr>
          <w:rFonts w:eastAsia="Calibri" w:cstheme="minorHAnsi"/>
        </w:rPr>
      </w:pPr>
      <w:r w:rsidRPr="00814F59">
        <w:rPr>
          <w:rFonts w:eastAsia="Calibri" w:cstheme="minorHAnsi"/>
        </w:rPr>
        <w:t>Travelling costs</w:t>
      </w:r>
    </w:p>
    <w:p w14:paraId="3F2CC3B5" w14:textId="151B8D73" w:rsidR="00DC79F1" w:rsidRPr="00814F59" w:rsidRDefault="00377354">
      <w:pPr>
        <w:pStyle w:val="ListParagraph"/>
        <w:numPr>
          <w:ilvl w:val="0"/>
          <w:numId w:val="4"/>
        </w:numPr>
        <w:rPr>
          <w:rFonts w:eastAsia="Calibri" w:cstheme="minorHAnsi"/>
        </w:rPr>
      </w:pPr>
      <w:r w:rsidRPr="00814F59">
        <w:rPr>
          <w:rFonts w:eastAsia="Calibri" w:cstheme="minorHAnsi"/>
        </w:rPr>
        <w:t xml:space="preserve">Meetings </w:t>
      </w:r>
      <w:r w:rsidR="00C92D4A" w:rsidRPr="00814F59">
        <w:rPr>
          <w:rFonts w:eastAsia="Calibri" w:cstheme="minorHAnsi"/>
        </w:rPr>
        <w:t>cost</w:t>
      </w:r>
      <w:r w:rsidRPr="00814F59">
        <w:rPr>
          <w:rFonts w:eastAsia="Calibri" w:cstheme="minorHAnsi"/>
        </w:rPr>
        <w:t>s</w:t>
      </w:r>
    </w:p>
    <w:p w14:paraId="335CD624" w14:textId="4C9C263A" w:rsidR="00DC79F1" w:rsidRPr="00814F59" w:rsidRDefault="00DC79F1">
      <w:pPr>
        <w:pStyle w:val="ListParagraph"/>
        <w:numPr>
          <w:ilvl w:val="0"/>
          <w:numId w:val="4"/>
        </w:numPr>
        <w:rPr>
          <w:rFonts w:eastAsia="Calibri" w:cstheme="minorHAnsi"/>
        </w:rPr>
      </w:pPr>
      <w:r w:rsidRPr="00814F59">
        <w:rPr>
          <w:rFonts w:eastAsia="Calibri" w:cstheme="minorHAnsi"/>
        </w:rPr>
        <w:t>SisGen software development</w:t>
      </w:r>
    </w:p>
    <w:p w14:paraId="0B8FDF53" w14:textId="3622B32B" w:rsidR="00DC79F1" w:rsidRPr="00814F59" w:rsidRDefault="006013CB">
      <w:pPr>
        <w:pStyle w:val="ListParagraph"/>
        <w:numPr>
          <w:ilvl w:val="0"/>
          <w:numId w:val="4"/>
        </w:numPr>
        <w:rPr>
          <w:rFonts w:eastAsia="Calibri" w:cstheme="minorHAnsi"/>
        </w:rPr>
      </w:pPr>
      <w:r w:rsidRPr="00814F59">
        <w:rPr>
          <w:rFonts w:eastAsia="Calibri" w:cstheme="minorHAnsi"/>
        </w:rPr>
        <w:t xml:space="preserve">IBAMA </w:t>
      </w:r>
      <w:r w:rsidR="001C7126" w:rsidRPr="00814F59">
        <w:rPr>
          <w:rFonts w:eastAsia="Calibri" w:cstheme="minorHAnsi"/>
        </w:rPr>
        <w:t>c</w:t>
      </w:r>
      <w:r w:rsidR="00BC2F68" w:rsidRPr="00814F59">
        <w:rPr>
          <w:rFonts w:eastAsia="Calibri" w:cstheme="minorHAnsi"/>
        </w:rPr>
        <w:t xml:space="preserve">apacity building on </w:t>
      </w:r>
      <w:r w:rsidR="0076672B" w:rsidRPr="00814F59">
        <w:rPr>
          <w:rFonts w:eastAsia="Calibri" w:cstheme="minorHAnsi"/>
        </w:rPr>
        <w:t xml:space="preserve">ABS </w:t>
      </w:r>
      <w:r w:rsidR="00BC2F68" w:rsidRPr="00814F59">
        <w:rPr>
          <w:rFonts w:eastAsia="Calibri" w:cstheme="minorHAnsi"/>
        </w:rPr>
        <w:t>e</w:t>
      </w:r>
      <w:r w:rsidR="0076672B" w:rsidRPr="00814F59">
        <w:rPr>
          <w:rFonts w:eastAsia="Calibri" w:cstheme="minorHAnsi"/>
        </w:rPr>
        <w:t>nforcement and GH/ATK protection</w:t>
      </w:r>
    </w:p>
    <w:p w14:paraId="36E10C34" w14:textId="77777777" w:rsidR="00371918" w:rsidRPr="00814F59" w:rsidRDefault="00371918" w:rsidP="00371918">
      <w:pPr>
        <w:pStyle w:val="ListParagraph"/>
        <w:rPr>
          <w:rFonts w:eastAsia="Calibri" w:cstheme="minorHAnsi"/>
        </w:rPr>
      </w:pPr>
    </w:p>
    <w:p w14:paraId="0073A8A0" w14:textId="5C0D4079" w:rsidR="00C77BAD" w:rsidRPr="00814F59" w:rsidRDefault="00371918" w:rsidP="00371918">
      <w:pPr>
        <w:rPr>
          <w:rFonts w:eastAsia="Calibri" w:cstheme="minorHAnsi"/>
        </w:rPr>
      </w:pPr>
      <w:r w:rsidRPr="00814F59">
        <w:rPr>
          <w:rFonts w:eastAsia="Calibri" w:cstheme="minorHAnsi"/>
        </w:rPr>
        <w:t xml:space="preserve">For the sake of a </w:t>
      </w:r>
      <w:r w:rsidR="00B136CE" w:rsidRPr="00814F59">
        <w:rPr>
          <w:rFonts w:eastAsia="Calibri" w:cstheme="minorHAnsi"/>
        </w:rPr>
        <w:t>broader view</w:t>
      </w:r>
      <w:r w:rsidRPr="00814F59">
        <w:rPr>
          <w:rFonts w:eastAsia="Calibri" w:cstheme="minorHAnsi"/>
        </w:rPr>
        <w:t xml:space="preserve">, </w:t>
      </w:r>
      <w:r w:rsidR="007361DF" w:rsidRPr="00814F59">
        <w:rPr>
          <w:rFonts w:eastAsia="Calibri" w:cstheme="minorHAnsi"/>
        </w:rPr>
        <w:t xml:space="preserve">the study also </w:t>
      </w:r>
      <w:r w:rsidR="003939F3" w:rsidRPr="00814F59">
        <w:rPr>
          <w:rFonts w:eastAsia="Calibri" w:cstheme="minorHAnsi"/>
        </w:rPr>
        <w:t>assessed</w:t>
      </w:r>
      <w:r w:rsidR="007361DF" w:rsidRPr="00814F59">
        <w:rPr>
          <w:rFonts w:eastAsia="Calibri" w:cstheme="minorHAnsi"/>
        </w:rPr>
        <w:t xml:space="preserve"> the following costs</w:t>
      </w:r>
      <w:r w:rsidR="003939F3" w:rsidRPr="00814F59">
        <w:rPr>
          <w:rFonts w:eastAsia="Calibri" w:cstheme="minorHAnsi"/>
        </w:rPr>
        <w:t>:</w:t>
      </w:r>
    </w:p>
    <w:p w14:paraId="29772821" w14:textId="4DA53280" w:rsidR="00DC79F1" w:rsidRPr="00814F59" w:rsidRDefault="00DC79F1">
      <w:pPr>
        <w:pStyle w:val="ListParagraph"/>
        <w:numPr>
          <w:ilvl w:val="0"/>
          <w:numId w:val="4"/>
        </w:numPr>
        <w:rPr>
          <w:rFonts w:eastAsia="Calibri" w:cstheme="minorHAnsi"/>
        </w:rPr>
      </w:pPr>
      <w:r w:rsidRPr="00814F59">
        <w:rPr>
          <w:rFonts w:eastAsia="Calibri" w:cstheme="minorHAnsi"/>
        </w:rPr>
        <w:t>CBD annual contributions</w:t>
      </w:r>
    </w:p>
    <w:p w14:paraId="07BF222C" w14:textId="63737339" w:rsidR="003939F3" w:rsidRPr="00814F59" w:rsidRDefault="003939F3">
      <w:pPr>
        <w:pStyle w:val="ListParagraph"/>
        <w:numPr>
          <w:ilvl w:val="0"/>
          <w:numId w:val="4"/>
        </w:numPr>
        <w:rPr>
          <w:rFonts w:eastAsia="Calibri" w:cstheme="minorHAnsi"/>
        </w:rPr>
      </w:pPr>
      <w:r w:rsidRPr="00814F59">
        <w:rPr>
          <w:rFonts w:eastAsia="Calibri" w:cstheme="minorHAnsi"/>
        </w:rPr>
        <w:t>Nagoya Protoc</w:t>
      </w:r>
      <w:r w:rsidR="000B6689" w:rsidRPr="00814F59">
        <w:rPr>
          <w:rFonts w:eastAsia="Calibri" w:cstheme="minorHAnsi"/>
        </w:rPr>
        <w:t>ol annual contribution for 2022</w:t>
      </w:r>
    </w:p>
    <w:p w14:paraId="3C1014A2" w14:textId="52E3BD76" w:rsidR="006E04CF" w:rsidRPr="00814F59" w:rsidRDefault="00377354" w:rsidP="006E04CF">
      <w:pPr>
        <w:rPr>
          <w:rFonts w:eastAsia="Calibri" w:cstheme="minorHAnsi"/>
        </w:rPr>
      </w:pPr>
      <w:r w:rsidRPr="00814F59">
        <w:rPr>
          <w:rFonts w:eastAsia="Calibri" w:cstheme="minorHAnsi"/>
        </w:rPr>
        <w:t>T</w:t>
      </w:r>
      <w:r w:rsidR="00DC79F1" w:rsidRPr="00814F59">
        <w:rPr>
          <w:rFonts w:eastAsia="Calibri" w:cstheme="minorHAnsi"/>
        </w:rPr>
        <w:t xml:space="preserve">he actual total costs associated </w:t>
      </w:r>
      <w:r w:rsidRPr="00814F59">
        <w:rPr>
          <w:rFonts w:eastAsia="Calibri" w:cstheme="minorHAnsi"/>
        </w:rPr>
        <w:t>with</w:t>
      </w:r>
      <w:r w:rsidR="00DC79F1" w:rsidRPr="00814F59">
        <w:rPr>
          <w:rFonts w:eastAsia="Calibri" w:cstheme="minorHAnsi"/>
        </w:rPr>
        <w:t xml:space="preserve"> ABS/CBD implementation in Brazil are </w:t>
      </w:r>
      <w:r w:rsidRPr="00814F59">
        <w:rPr>
          <w:rFonts w:eastAsia="Calibri" w:cstheme="minorHAnsi"/>
        </w:rPr>
        <w:t>higher</w:t>
      </w:r>
      <w:r w:rsidR="00DC79F1" w:rsidRPr="00814F59">
        <w:rPr>
          <w:rFonts w:eastAsia="Calibri" w:cstheme="minorHAnsi"/>
        </w:rPr>
        <w:t xml:space="preserve"> than the values herein </w:t>
      </w:r>
      <w:r w:rsidR="00B17E78" w:rsidRPr="00814F59">
        <w:rPr>
          <w:rFonts w:eastAsia="Calibri" w:cstheme="minorHAnsi"/>
        </w:rPr>
        <w:t>assessed</w:t>
      </w:r>
      <w:r w:rsidR="00D67457" w:rsidRPr="00814F59">
        <w:rPr>
          <w:rFonts w:eastAsia="Calibri" w:cstheme="minorHAnsi"/>
        </w:rPr>
        <w:t>.</w:t>
      </w:r>
      <w:r w:rsidR="00C25B3A" w:rsidRPr="00814F59">
        <w:rPr>
          <w:rFonts w:eastAsia="Calibri" w:cstheme="minorHAnsi"/>
        </w:rPr>
        <w:t xml:space="preserve"> A comprehensive cost-benefit analysis would require that every potential cost associated with the policy is outlined, which can uncover non-obvious factors like intangible costs, whose non-availability, as mentioned before, is one of the limitations of CBA-based methodologies. </w:t>
      </w:r>
      <w:r w:rsidR="00F713D6" w:rsidRPr="00814F59">
        <w:rPr>
          <w:rFonts w:eastAsia="Calibri" w:cstheme="minorHAnsi"/>
        </w:rPr>
        <w:t xml:space="preserve">Other </w:t>
      </w:r>
      <w:r w:rsidR="00C25B3A" w:rsidRPr="00814F59">
        <w:rPr>
          <w:rFonts w:eastAsia="Calibri" w:cstheme="minorHAnsi"/>
        </w:rPr>
        <w:t xml:space="preserve">costs </w:t>
      </w:r>
      <w:r w:rsidR="001504D1" w:rsidRPr="00814F59">
        <w:rPr>
          <w:rFonts w:eastAsia="Calibri" w:cstheme="minorHAnsi"/>
        </w:rPr>
        <w:t xml:space="preserve">in the operation </w:t>
      </w:r>
      <w:r w:rsidR="00C25B3A" w:rsidRPr="00814F59">
        <w:rPr>
          <w:rFonts w:eastAsia="Calibri" w:cstheme="minorHAnsi"/>
        </w:rPr>
        <w:t xml:space="preserve">of Brazil’s ABS policy may be related to public awareness promotion, </w:t>
      </w:r>
      <w:r w:rsidR="00A631BD" w:rsidRPr="00814F59">
        <w:rPr>
          <w:rFonts w:eastAsia="Calibri" w:cstheme="minorHAnsi"/>
        </w:rPr>
        <w:t>education and training</w:t>
      </w:r>
      <w:r w:rsidR="00032FC8" w:rsidRPr="00814F59">
        <w:rPr>
          <w:rFonts w:eastAsia="Calibri" w:cstheme="minorHAnsi"/>
        </w:rPr>
        <w:t xml:space="preserve"> for users and providers, and others</w:t>
      </w:r>
      <w:r w:rsidR="00C25B3A" w:rsidRPr="00814F59">
        <w:rPr>
          <w:rFonts w:eastAsia="Calibri" w:cstheme="minorHAnsi"/>
        </w:rPr>
        <w:t>.</w:t>
      </w:r>
      <w:r w:rsidR="006E04CF" w:rsidRPr="00814F59">
        <w:rPr>
          <w:rFonts w:eastAsia="Calibri" w:cstheme="minorHAnsi"/>
        </w:rPr>
        <w:t xml:space="preserve"> </w:t>
      </w:r>
      <w:r w:rsidR="001355E2" w:rsidRPr="00814F59">
        <w:rPr>
          <w:rFonts w:eastAsia="Calibri" w:cstheme="minorHAnsi"/>
        </w:rPr>
        <w:t>A comprehensive</w:t>
      </w:r>
      <w:r w:rsidR="00681D77" w:rsidRPr="00814F59">
        <w:rPr>
          <w:rFonts w:eastAsia="Calibri" w:cstheme="minorHAnsi"/>
        </w:rPr>
        <w:t xml:space="preserve"> CBA </w:t>
      </w:r>
      <w:r w:rsidR="006E04CF" w:rsidRPr="00814F59">
        <w:rPr>
          <w:rFonts w:eastAsia="Calibri" w:cstheme="minorHAnsi"/>
        </w:rPr>
        <w:t xml:space="preserve">should also </w:t>
      </w:r>
      <w:r w:rsidR="001355E2" w:rsidRPr="00814F59">
        <w:rPr>
          <w:rFonts w:eastAsia="Calibri" w:cstheme="minorHAnsi"/>
        </w:rPr>
        <w:t>consider</w:t>
      </w:r>
      <w:r w:rsidR="006E04CF" w:rsidRPr="00814F59">
        <w:rPr>
          <w:rFonts w:eastAsia="Calibri" w:cstheme="minorHAnsi"/>
        </w:rPr>
        <w:t xml:space="preserve"> Individuals’, companies’ and academic institutions’ costs</w:t>
      </w:r>
      <w:r w:rsidR="005579B9" w:rsidRPr="00814F59">
        <w:rPr>
          <w:rFonts w:eastAsia="Calibri" w:cstheme="minorHAnsi"/>
        </w:rPr>
        <w:t>, which</w:t>
      </w:r>
      <w:r w:rsidR="006E04CF" w:rsidRPr="00814F59">
        <w:rPr>
          <w:rFonts w:eastAsia="Calibri" w:cstheme="minorHAnsi"/>
        </w:rPr>
        <w:t xml:space="preserve"> were not dealt with, for the sake of simplicity.</w:t>
      </w:r>
      <w:r w:rsidR="00681D77" w:rsidRPr="00814F59">
        <w:rPr>
          <w:rFonts w:eastAsia="Calibri" w:cstheme="minorHAnsi"/>
        </w:rPr>
        <w:t xml:space="preserve"> The total </w:t>
      </w:r>
      <w:r w:rsidR="00B17E78" w:rsidRPr="00814F59">
        <w:rPr>
          <w:rFonts w:eastAsia="Calibri" w:cstheme="minorHAnsi"/>
        </w:rPr>
        <w:t xml:space="preserve">amount of </w:t>
      </w:r>
      <w:r w:rsidR="00681D77" w:rsidRPr="00814F59">
        <w:rPr>
          <w:rFonts w:eastAsia="Calibri" w:cstheme="minorHAnsi"/>
        </w:rPr>
        <w:t xml:space="preserve">costs </w:t>
      </w:r>
      <w:r w:rsidR="00B17E78" w:rsidRPr="00814F59">
        <w:rPr>
          <w:rFonts w:eastAsia="Calibri" w:cstheme="minorHAnsi"/>
        </w:rPr>
        <w:t>computed</w:t>
      </w:r>
      <w:r w:rsidR="00681D77" w:rsidRPr="00814F59">
        <w:rPr>
          <w:rFonts w:eastAsia="Calibri" w:cstheme="minorHAnsi"/>
        </w:rPr>
        <w:t xml:space="preserve"> in this study should be </w:t>
      </w:r>
      <w:r w:rsidR="001355E2" w:rsidRPr="00814F59">
        <w:rPr>
          <w:rFonts w:eastAsia="Calibri" w:cstheme="minorHAnsi"/>
        </w:rPr>
        <w:t xml:space="preserve">seen as </w:t>
      </w:r>
      <w:r w:rsidR="00681D77" w:rsidRPr="00814F59">
        <w:rPr>
          <w:rFonts w:eastAsia="Calibri" w:cstheme="minorHAnsi"/>
        </w:rPr>
        <w:t>a floor</w:t>
      </w:r>
      <w:r w:rsidR="008046F8" w:rsidRPr="00814F59">
        <w:rPr>
          <w:rFonts w:eastAsia="Calibri" w:cstheme="minorHAnsi"/>
        </w:rPr>
        <w:t xml:space="preserve">, </w:t>
      </w:r>
      <w:r w:rsidR="002E18D2" w:rsidRPr="00814F59">
        <w:rPr>
          <w:rFonts w:eastAsia="Calibri" w:cstheme="minorHAnsi"/>
        </w:rPr>
        <w:t>and as such were considered in this study</w:t>
      </w:r>
      <w:r w:rsidR="001A5EDC" w:rsidRPr="00814F59">
        <w:rPr>
          <w:rFonts w:eastAsia="Calibri" w:cstheme="minorHAnsi"/>
        </w:rPr>
        <w:t>.</w:t>
      </w:r>
    </w:p>
    <w:p w14:paraId="2AF7A5D6" w14:textId="4FF47181" w:rsidR="00C25B3A" w:rsidRDefault="00C25B3A" w:rsidP="00C25B3A">
      <w:pPr>
        <w:rPr>
          <w:rFonts w:ascii="Calibri" w:eastAsia="Calibri" w:hAnsi="Calibri" w:cs="Calibri"/>
        </w:rPr>
      </w:pPr>
    </w:p>
    <w:p w14:paraId="287A0390" w14:textId="77777777" w:rsidR="00C25B3A" w:rsidRDefault="00C25B3A" w:rsidP="00DC79F1">
      <w:pPr>
        <w:rPr>
          <w:rFonts w:ascii="Calibri" w:eastAsia="Calibri" w:hAnsi="Calibri" w:cs="Calibri"/>
        </w:rPr>
      </w:pPr>
    </w:p>
    <w:p w14:paraId="58DE3072" w14:textId="77777777" w:rsidR="00DC79F1" w:rsidRPr="00814F59" w:rsidRDefault="00DC79F1" w:rsidP="00DC79F1">
      <w:pPr>
        <w:rPr>
          <w:rFonts w:eastAsia="Calibri" w:cstheme="minorHAnsi"/>
        </w:rPr>
      </w:pPr>
      <w:r w:rsidRPr="00814F59">
        <w:rPr>
          <w:rFonts w:eastAsia="Calibri" w:cstheme="minorHAnsi"/>
        </w:rPr>
        <w:t>The costs taken into consideration were compared to the following benefits:</w:t>
      </w:r>
    </w:p>
    <w:p w14:paraId="5EF568C4" w14:textId="5EEB1F8B" w:rsidR="00DC79F1" w:rsidRPr="00814F59" w:rsidRDefault="00DC79F1">
      <w:pPr>
        <w:pStyle w:val="ListParagraph"/>
        <w:numPr>
          <w:ilvl w:val="0"/>
          <w:numId w:val="5"/>
        </w:numPr>
        <w:rPr>
          <w:rFonts w:eastAsia="Calibri" w:cstheme="minorHAnsi"/>
        </w:rPr>
      </w:pPr>
      <w:r w:rsidRPr="00814F59">
        <w:rPr>
          <w:rFonts w:eastAsia="Calibri" w:cstheme="minorHAnsi"/>
        </w:rPr>
        <w:t>Monetary benefits shared by GH/ATK users</w:t>
      </w:r>
      <w:r w:rsidR="002726B1" w:rsidRPr="00814F59">
        <w:rPr>
          <w:rFonts w:eastAsia="Calibri" w:cstheme="minorHAnsi"/>
        </w:rPr>
        <w:t xml:space="preserve"> and other resources allocated to the </w:t>
      </w:r>
      <w:r w:rsidR="00A22D21" w:rsidRPr="00814F59">
        <w:rPr>
          <w:rFonts w:eastAsia="Calibri" w:cstheme="minorHAnsi"/>
        </w:rPr>
        <w:t>N</w:t>
      </w:r>
      <w:r w:rsidR="002726B1" w:rsidRPr="00814F59">
        <w:rPr>
          <w:rFonts w:eastAsia="Calibri" w:cstheme="minorHAnsi"/>
        </w:rPr>
        <w:t>BSF</w:t>
      </w:r>
    </w:p>
    <w:p w14:paraId="3D602D12" w14:textId="63EFF76F" w:rsidR="00DC79F1" w:rsidRPr="00814F59" w:rsidRDefault="00DC79F1">
      <w:pPr>
        <w:pStyle w:val="ListParagraph"/>
        <w:numPr>
          <w:ilvl w:val="0"/>
          <w:numId w:val="5"/>
        </w:numPr>
        <w:rPr>
          <w:rFonts w:eastAsia="Calibri" w:cstheme="minorHAnsi"/>
        </w:rPr>
      </w:pPr>
      <w:r w:rsidRPr="00814F59">
        <w:rPr>
          <w:rFonts w:eastAsia="Calibri" w:cstheme="minorHAnsi"/>
        </w:rPr>
        <w:t>Equivalent amount of non-monetary benefit sharing projects signed between users and providers and between users and the Union</w:t>
      </w:r>
    </w:p>
    <w:p w14:paraId="60F7844F" w14:textId="1FA7724A" w:rsidR="00271D67" w:rsidRPr="00814F59" w:rsidRDefault="00271D67" w:rsidP="004C0024">
      <w:pPr>
        <w:rPr>
          <w:rFonts w:cstheme="minorHAnsi"/>
          <w:lang w:val="en"/>
        </w:rPr>
      </w:pPr>
      <w:r w:rsidRPr="00814F59">
        <w:rPr>
          <w:rFonts w:cstheme="minorHAnsi"/>
        </w:rPr>
        <w:t xml:space="preserve">For the cost-benefit analysis, </w:t>
      </w:r>
      <w:r w:rsidR="00F13EF7" w:rsidRPr="00814F59">
        <w:rPr>
          <w:rFonts w:cstheme="minorHAnsi"/>
        </w:rPr>
        <w:t xml:space="preserve">values were made comparable </w:t>
      </w:r>
      <w:r w:rsidR="00FC20B8" w:rsidRPr="00814F59">
        <w:rPr>
          <w:rFonts w:cstheme="minorHAnsi"/>
        </w:rPr>
        <w:t xml:space="preserve">by applying </w:t>
      </w:r>
      <w:r w:rsidR="00883380" w:rsidRPr="00814F59">
        <w:rPr>
          <w:rFonts w:cstheme="minorHAnsi"/>
        </w:rPr>
        <w:t xml:space="preserve">a </w:t>
      </w:r>
      <w:r w:rsidRPr="00814F59">
        <w:rPr>
          <w:rFonts w:cstheme="minorHAnsi"/>
        </w:rPr>
        <w:t xml:space="preserve">monetary adjustment index </w:t>
      </w:r>
      <w:r w:rsidR="00FC20B8" w:rsidRPr="00814F59">
        <w:rPr>
          <w:rFonts w:cstheme="minorHAnsi"/>
        </w:rPr>
        <w:t xml:space="preserve">which </w:t>
      </w:r>
      <w:r w:rsidR="00887F90" w:rsidRPr="00814F59">
        <w:rPr>
          <w:rFonts w:cstheme="minorHAnsi"/>
        </w:rPr>
        <w:t xml:space="preserve">aligned them </w:t>
      </w:r>
      <w:r w:rsidR="00FC20B8" w:rsidRPr="00814F59">
        <w:rPr>
          <w:rFonts w:cstheme="minorHAnsi"/>
        </w:rPr>
        <w:t xml:space="preserve">to </w:t>
      </w:r>
      <w:r w:rsidR="003B3BDD" w:rsidRPr="00814F59">
        <w:rPr>
          <w:rFonts w:cstheme="minorHAnsi"/>
        </w:rPr>
        <w:t xml:space="preserve">Brazilian Real of </w:t>
      </w:r>
      <w:r w:rsidRPr="00814F59">
        <w:rPr>
          <w:rFonts w:cstheme="minorHAnsi"/>
        </w:rPr>
        <w:t>August</w:t>
      </w:r>
      <w:r w:rsidR="00B2695C" w:rsidRPr="00814F59">
        <w:rPr>
          <w:rFonts w:cstheme="minorHAnsi"/>
        </w:rPr>
        <w:t xml:space="preserve"> </w:t>
      </w:r>
      <w:r w:rsidR="00767C05" w:rsidRPr="00814F59">
        <w:rPr>
          <w:rFonts w:cstheme="minorHAnsi"/>
        </w:rPr>
        <w:t>31</w:t>
      </w:r>
      <w:r w:rsidR="00C63EBD" w:rsidRPr="00814F59">
        <w:rPr>
          <w:rFonts w:cstheme="minorHAnsi"/>
        </w:rPr>
        <w:t>, 2022</w:t>
      </w:r>
      <w:r w:rsidRPr="00814F59">
        <w:rPr>
          <w:rFonts w:cstheme="minorHAnsi"/>
        </w:rPr>
        <w:t xml:space="preserve">. </w:t>
      </w:r>
      <w:r w:rsidRPr="00814F59">
        <w:rPr>
          <w:rFonts w:cstheme="minorHAnsi"/>
          <w:lang w:val="en"/>
        </w:rPr>
        <w:t>In 2019, the Brazilian Supreme Court fixed the IPCA-E (Special Consumer Price Index) as an index of monetary correction for judicial debts of the Public Treasury</w:t>
      </w:r>
      <w:r w:rsidRPr="00814F59">
        <w:rPr>
          <w:rStyle w:val="EndnoteReference"/>
          <w:rFonts w:cstheme="minorHAnsi"/>
          <w:lang w:val="en"/>
        </w:rPr>
        <w:endnoteReference w:id="15"/>
      </w:r>
      <w:r w:rsidRPr="00814F59">
        <w:rPr>
          <w:rFonts w:cstheme="minorHAnsi"/>
          <w:lang w:val="en"/>
        </w:rPr>
        <w:t>. The authors used the IPCA-E index in this work, with the help of the Brazilian Central Bank Citizen Calculator</w:t>
      </w:r>
      <w:r w:rsidRPr="00814F59">
        <w:rPr>
          <w:rStyle w:val="EndnoteReference"/>
          <w:rFonts w:cstheme="minorHAnsi"/>
          <w:lang w:val="en"/>
        </w:rPr>
        <w:endnoteReference w:id="16"/>
      </w:r>
      <w:r w:rsidRPr="00814F59">
        <w:rPr>
          <w:rFonts w:cstheme="minorHAnsi"/>
          <w:lang w:val="en"/>
        </w:rPr>
        <w:t>.</w:t>
      </w:r>
    </w:p>
    <w:p w14:paraId="67D299C2" w14:textId="77777777" w:rsidR="001E4EA0" w:rsidRDefault="001E4EA0" w:rsidP="00DC79F1">
      <w:pPr>
        <w:pStyle w:val="Heading2"/>
        <w:ind w:left="1080"/>
        <w:rPr>
          <w:color w:val="0070C0"/>
        </w:rPr>
      </w:pPr>
    </w:p>
    <w:p w14:paraId="1808C5FF" w14:textId="4103742F" w:rsidR="00271D67" w:rsidRDefault="00A01D27" w:rsidP="00814F59">
      <w:pPr>
        <w:pStyle w:val="Heading2"/>
        <w:ind w:firstLine="720"/>
      </w:pPr>
      <w:r>
        <w:t xml:space="preserve">2.3. </w:t>
      </w:r>
      <w:r w:rsidR="00271D67" w:rsidRPr="00CC26C1">
        <w:t xml:space="preserve">Transaction </w:t>
      </w:r>
      <w:r w:rsidR="00C016D0" w:rsidRPr="00CC26C1">
        <w:t xml:space="preserve">costs, risks, and compliance analysis </w:t>
      </w:r>
    </w:p>
    <w:p w14:paraId="79C75129" w14:textId="77777777" w:rsidR="00271D67" w:rsidRPr="00A8410B" w:rsidRDefault="00271D67" w:rsidP="00A8410B"/>
    <w:p w14:paraId="028D9F75" w14:textId="6EA08626" w:rsidR="00271D67" w:rsidRPr="00814F59" w:rsidRDefault="00A01D27" w:rsidP="749DB7B2">
      <w:pPr>
        <w:rPr>
          <w:rFonts w:eastAsia="Calibri" w:cstheme="minorHAnsi"/>
        </w:rPr>
      </w:pPr>
      <w:r w:rsidRPr="00814F59">
        <w:rPr>
          <w:rFonts w:eastAsia="Calibri" w:cstheme="minorHAnsi"/>
        </w:rPr>
        <w:t>R</w:t>
      </w:r>
      <w:r w:rsidR="00271D67" w:rsidRPr="00814F59">
        <w:rPr>
          <w:rFonts w:eastAsia="Calibri" w:cstheme="minorHAnsi"/>
        </w:rPr>
        <w:t>elevant</w:t>
      </w:r>
      <w:r w:rsidRPr="00814F59">
        <w:rPr>
          <w:rFonts w:cstheme="minorHAnsi"/>
        </w:rPr>
        <w:t xml:space="preserve"> </w:t>
      </w:r>
      <w:r w:rsidRPr="00814F59">
        <w:rPr>
          <w:rFonts w:eastAsia="Calibri" w:cstheme="minorHAnsi"/>
        </w:rPr>
        <w:t xml:space="preserve">supplementary </w:t>
      </w:r>
      <w:r w:rsidR="00271D67" w:rsidRPr="00814F59">
        <w:rPr>
          <w:rFonts w:eastAsia="Calibri" w:cstheme="minorHAnsi"/>
        </w:rPr>
        <w:t xml:space="preserve">information extractable from the available data is related to compliance and fines, which may be the object of a transaction costs-based analysis. Thus, the authors added to the core of the CBA analysis considerations </w:t>
      </w:r>
      <w:r w:rsidR="00377354" w:rsidRPr="00814F59">
        <w:rPr>
          <w:rFonts w:eastAsia="Calibri" w:cstheme="minorHAnsi"/>
        </w:rPr>
        <w:t xml:space="preserve">related to the </w:t>
      </w:r>
      <w:r w:rsidR="00271D67" w:rsidRPr="00814F59">
        <w:rPr>
          <w:rFonts w:eastAsia="Calibri" w:cstheme="minorHAnsi"/>
        </w:rPr>
        <w:t>normative impact</w:t>
      </w:r>
      <w:r w:rsidR="00377354" w:rsidRPr="00814F59">
        <w:rPr>
          <w:rFonts w:eastAsia="Calibri" w:cstheme="minorHAnsi"/>
        </w:rPr>
        <w:t xml:space="preserve"> of the policy</w:t>
      </w:r>
      <w:r w:rsidR="00271D67" w:rsidRPr="00814F59">
        <w:rPr>
          <w:rFonts w:eastAsia="Calibri" w:cstheme="minorHAnsi"/>
        </w:rPr>
        <w:t xml:space="preserve">. </w:t>
      </w:r>
    </w:p>
    <w:p w14:paraId="79A87E63" w14:textId="77777777" w:rsidR="00B71F1C" w:rsidRDefault="00B71F1C" w:rsidP="749DB7B2">
      <w:pPr>
        <w:rPr>
          <w:rFonts w:ascii="Calibri" w:eastAsia="Calibri" w:hAnsi="Calibri" w:cs="Calibri"/>
        </w:rPr>
      </w:pPr>
    </w:p>
    <w:p w14:paraId="1D4DE49B" w14:textId="6F48C2FD" w:rsidR="00271D67" w:rsidRPr="007B2BD4" w:rsidRDefault="00271D67">
      <w:pPr>
        <w:pStyle w:val="Heading1"/>
        <w:numPr>
          <w:ilvl w:val="0"/>
          <w:numId w:val="3"/>
        </w:numPr>
        <w:rPr>
          <w:b/>
          <w:bCs/>
          <w:color w:val="0070C0"/>
          <w:sz w:val="28"/>
          <w:szCs w:val="28"/>
        </w:rPr>
      </w:pPr>
      <w:r w:rsidRPr="007B2BD4">
        <w:rPr>
          <w:b/>
          <w:bCs/>
          <w:color w:val="0070C0"/>
          <w:sz w:val="28"/>
          <w:szCs w:val="28"/>
        </w:rPr>
        <w:t xml:space="preserve">Performance and </w:t>
      </w:r>
      <w:r w:rsidR="00377354" w:rsidRPr="007B2BD4">
        <w:rPr>
          <w:b/>
          <w:bCs/>
          <w:color w:val="0070C0"/>
          <w:sz w:val="28"/>
          <w:szCs w:val="28"/>
        </w:rPr>
        <w:t>I</w:t>
      </w:r>
      <w:r w:rsidRPr="007B2BD4">
        <w:rPr>
          <w:b/>
          <w:bCs/>
          <w:color w:val="0070C0"/>
          <w:sz w:val="28"/>
          <w:szCs w:val="28"/>
        </w:rPr>
        <w:t xml:space="preserve">mpact of the Brazilian ABS </w:t>
      </w:r>
      <w:r w:rsidR="00377354" w:rsidRPr="007B2BD4">
        <w:rPr>
          <w:b/>
          <w:bCs/>
          <w:color w:val="0070C0"/>
          <w:sz w:val="28"/>
          <w:szCs w:val="28"/>
        </w:rPr>
        <w:t>P</w:t>
      </w:r>
      <w:r w:rsidRPr="007B2BD4">
        <w:rPr>
          <w:b/>
          <w:bCs/>
          <w:color w:val="0070C0"/>
          <w:sz w:val="28"/>
          <w:szCs w:val="28"/>
        </w:rPr>
        <w:t xml:space="preserve">olicy: </w:t>
      </w:r>
      <w:r w:rsidR="00B637EA" w:rsidRPr="007B2BD4">
        <w:rPr>
          <w:b/>
          <w:bCs/>
          <w:color w:val="0070C0"/>
          <w:sz w:val="28"/>
          <w:szCs w:val="28"/>
        </w:rPr>
        <w:t>A</w:t>
      </w:r>
      <w:r w:rsidR="00377354" w:rsidRPr="007B2BD4">
        <w:rPr>
          <w:b/>
          <w:bCs/>
          <w:color w:val="0070C0"/>
          <w:sz w:val="28"/>
          <w:szCs w:val="28"/>
        </w:rPr>
        <w:t xml:space="preserve"> </w:t>
      </w:r>
      <w:r w:rsidRPr="007B2BD4">
        <w:rPr>
          <w:b/>
          <w:bCs/>
          <w:color w:val="0070C0"/>
          <w:sz w:val="28"/>
          <w:szCs w:val="28"/>
        </w:rPr>
        <w:t>Cost-Benefit Analysis</w:t>
      </w:r>
    </w:p>
    <w:p w14:paraId="56B690D7" w14:textId="77777777" w:rsidR="00271D67" w:rsidRPr="006C4CE2" w:rsidRDefault="00271D67" w:rsidP="00F50DC9">
      <w:pPr>
        <w:spacing w:line="257" w:lineRule="auto"/>
        <w:rPr>
          <w:rFonts w:ascii="Calibri" w:eastAsia="Calibri" w:hAnsi="Calibri" w:cs="Calibri"/>
          <w:lang w:val="en"/>
        </w:rPr>
      </w:pPr>
    </w:p>
    <w:p w14:paraId="5D414E69" w14:textId="0391A064" w:rsidR="00271D67" w:rsidRPr="00814F59" w:rsidRDefault="00A01D27" w:rsidP="3F7734D5">
      <w:pPr>
        <w:rPr>
          <w:rFonts w:eastAsia="Calibri" w:cstheme="minorHAnsi"/>
        </w:rPr>
      </w:pPr>
      <w:r w:rsidRPr="00814F59">
        <w:rPr>
          <w:rFonts w:eastAsia="Calibri" w:cstheme="minorHAnsi"/>
        </w:rPr>
        <w:t>For</w:t>
      </w:r>
      <w:r w:rsidR="00271D67" w:rsidRPr="00814F59">
        <w:rPr>
          <w:rFonts w:eastAsia="Calibri" w:cstheme="minorHAnsi"/>
        </w:rPr>
        <w:t xml:space="preserve"> the cost-benefit analysis (CBA), </w:t>
      </w:r>
      <w:r w:rsidR="00FF4D40" w:rsidRPr="00814F59">
        <w:rPr>
          <w:rFonts w:eastAsia="Calibri" w:cstheme="minorHAnsi"/>
        </w:rPr>
        <w:t>five</w:t>
      </w:r>
      <w:r w:rsidR="00271D67" w:rsidRPr="00814F59">
        <w:rPr>
          <w:rFonts w:eastAsia="Calibri" w:cstheme="minorHAnsi"/>
        </w:rPr>
        <w:t xml:space="preserve"> selected costs presented in section 3.2 </w:t>
      </w:r>
      <w:r w:rsidR="00377354" w:rsidRPr="00814F59">
        <w:rPr>
          <w:rFonts w:eastAsia="Calibri" w:cstheme="minorHAnsi"/>
        </w:rPr>
        <w:t>are</w:t>
      </w:r>
      <w:r w:rsidR="00271D67" w:rsidRPr="00814F59">
        <w:rPr>
          <w:rFonts w:eastAsia="Calibri" w:cstheme="minorHAnsi"/>
        </w:rPr>
        <w:t xml:space="preserve"> compared with the benefit</w:t>
      </w:r>
      <w:r w:rsidR="00377354" w:rsidRPr="00814F59">
        <w:rPr>
          <w:rFonts w:eastAsia="Calibri" w:cstheme="minorHAnsi"/>
        </w:rPr>
        <w:t>s</w:t>
      </w:r>
      <w:r w:rsidR="00271D67" w:rsidRPr="00814F59">
        <w:rPr>
          <w:rFonts w:eastAsia="Calibri" w:cstheme="minorHAnsi"/>
        </w:rPr>
        <w:t xml:space="preserve"> shared over </w:t>
      </w:r>
      <w:r w:rsidR="00F3285A" w:rsidRPr="00814F59">
        <w:rPr>
          <w:rFonts w:eastAsia="Calibri" w:cstheme="minorHAnsi"/>
        </w:rPr>
        <w:t>six</w:t>
      </w:r>
      <w:r w:rsidR="00271D67" w:rsidRPr="00814F59">
        <w:rPr>
          <w:rFonts w:eastAsia="Calibri" w:cstheme="minorHAnsi"/>
        </w:rPr>
        <w:t xml:space="preserve"> years and </w:t>
      </w:r>
      <w:r w:rsidR="00F3285A" w:rsidRPr="00814F59">
        <w:rPr>
          <w:rFonts w:eastAsia="Calibri" w:cstheme="minorHAnsi"/>
        </w:rPr>
        <w:t>nine</w:t>
      </w:r>
      <w:r w:rsidR="00271D67" w:rsidRPr="00814F59">
        <w:rPr>
          <w:rFonts w:eastAsia="Calibri" w:cstheme="minorHAnsi"/>
        </w:rPr>
        <w:t xml:space="preserve"> months of Law 13,123/2015 </w:t>
      </w:r>
      <w:r w:rsidR="00377354" w:rsidRPr="00814F59">
        <w:rPr>
          <w:rFonts w:eastAsia="Calibri" w:cstheme="minorHAnsi"/>
        </w:rPr>
        <w:t>being in force</w:t>
      </w:r>
      <w:r w:rsidR="00F3285A" w:rsidRPr="00814F59">
        <w:rPr>
          <w:rFonts w:eastAsia="Calibri" w:cstheme="minorHAnsi"/>
        </w:rPr>
        <w:t xml:space="preserve">, </w:t>
      </w:r>
      <w:r w:rsidR="00FE13DA" w:rsidRPr="00814F59">
        <w:rPr>
          <w:rFonts w:eastAsia="Calibri" w:cstheme="minorHAnsi"/>
        </w:rPr>
        <w:t>present</w:t>
      </w:r>
      <w:r w:rsidR="00F3285A" w:rsidRPr="00814F59">
        <w:rPr>
          <w:rFonts w:eastAsia="Calibri" w:cstheme="minorHAnsi"/>
        </w:rPr>
        <w:t xml:space="preserve">ed in </w:t>
      </w:r>
      <w:r w:rsidR="00271D67" w:rsidRPr="00814F59">
        <w:rPr>
          <w:rFonts w:eastAsia="Calibri" w:cstheme="minorHAnsi"/>
        </w:rPr>
        <w:t xml:space="preserve">section 3.1. </w:t>
      </w:r>
    </w:p>
    <w:p w14:paraId="3A7E5EC4" w14:textId="77777777" w:rsidR="00271D67" w:rsidRPr="006C4CE2" w:rsidRDefault="00271D67" w:rsidP="3F7734D5">
      <w:pPr>
        <w:rPr>
          <w:rFonts w:ascii="Calibri" w:eastAsia="Calibri" w:hAnsi="Calibri" w:cs="Calibri"/>
          <w:color w:val="FFFFFF" w:themeColor="background1"/>
        </w:rPr>
      </w:pPr>
    </w:p>
    <w:p w14:paraId="6460C5CF" w14:textId="7BAF91EE" w:rsidR="00271D67" w:rsidRPr="00CC26C1" w:rsidRDefault="00271D67">
      <w:pPr>
        <w:pStyle w:val="Heading2"/>
        <w:numPr>
          <w:ilvl w:val="1"/>
          <w:numId w:val="3"/>
        </w:numPr>
        <w:rPr>
          <w:color w:val="0070C0"/>
        </w:rPr>
      </w:pPr>
      <w:r w:rsidRPr="00CC26C1">
        <w:rPr>
          <w:color w:val="0070C0"/>
        </w:rPr>
        <w:t xml:space="preserve">Monetary </w:t>
      </w:r>
      <w:r w:rsidR="00C016D0" w:rsidRPr="00CC26C1">
        <w:rPr>
          <w:color w:val="0070C0"/>
        </w:rPr>
        <w:t>and non-monetary benefits</w:t>
      </w:r>
      <w:r w:rsidR="00B76544">
        <w:rPr>
          <w:color w:val="0070C0"/>
        </w:rPr>
        <w:t xml:space="preserve"> under Law </w:t>
      </w:r>
      <w:r w:rsidR="009D072D" w:rsidRPr="54D28F68">
        <w:rPr>
          <w:rFonts w:ascii="Calibri" w:eastAsia="Calibri" w:hAnsi="Calibri" w:cs="Calibri"/>
        </w:rPr>
        <w:t>13,123/2015</w:t>
      </w:r>
    </w:p>
    <w:p w14:paraId="64C01C2F" w14:textId="77777777" w:rsidR="00271D67" w:rsidRPr="00332F75" w:rsidRDefault="00271D67" w:rsidP="00332F75"/>
    <w:p w14:paraId="28ACC3BC" w14:textId="6E238B6D" w:rsidR="00271D67" w:rsidRPr="00814F59" w:rsidRDefault="00271D67" w:rsidP="77604A67">
      <w:pPr>
        <w:spacing w:line="257" w:lineRule="auto"/>
        <w:rPr>
          <w:rFonts w:eastAsia="Calibri" w:cstheme="minorHAnsi"/>
        </w:rPr>
      </w:pPr>
      <w:r w:rsidRPr="00814F59">
        <w:rPr>
          <w:rFonts w:eastAsia="Calibri" w:cstheme="minorHAnsi"/>
          <w:b/>
          <w:bCs/>
          <w:noProof/>
          <w:sz w:val="20"/>
          <w:szCs w:val="20"/>
        </w:rPr>
        <mc:AlternateContent>
          <mc:Choice Requires="wps">
            <w:drawing>
              <wp:anchor distT="45720" distB="45720" distL="114300" distR="114300" simplePos="0" relativeHeight="251658245" behindDoc="0" locked="0" layoutInCell="1" allowOverlap="1" wp14:anchorId="1BCBC3F0" wp14:editId="65199C05">
                <wp:simplePos x="0" y="0"/>
                <wp:positionH relativeFrom="column">
                  <wp:posOffset>24765</wp:posOffset>
                </wp:positionH>
                <wp:positionV relativeFrom="paragraph">
                  <wp:posOffset>18415</wp:posOffset>
                </wp:positionV>
                <wp:extent cx="2047875" cy="1404620"/>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404620"/>
                        </a:xfrm>
                        <a:prstGeom prst="rect">
                          <a:avLst/>
                        </a:prstGeom>
                        <a:solidFill>
                          <a:schemeClr val="accent1">
                            <a:lumMod val="20000"/>
                            <a:lumOff val="80000"/>
                          </a:schemeClr>
                        </a:solidFill>
                        <a:ln w="9525">
                          <a:noFill/>
                          <a:miter lim="800000"/>
                          <a:headEnd/>
                          <a:tailEnd/>
                        </a:ln>
                      </wps:spPr>
                      <wps:txbx>
                        <w:txbxContent>
                          <w:p w14:paraId="7A6AC4F4" w14:textId="4C91DDC5" w:rsidR="00271D67" w:rsidRPr="00814F59" w:rsidRDefault="00271D67">
                            <w:pPr>
                              <w:rPr>
                                <w:rFonts w:cstheme="minorHAnsi"/>
                                <w:i/>
                                <w:iCs/>
                                <w:sz w:val="20"/>
                                <w:szCs w:val="20"/>
                              </w:rPr>
                            </w:pPr>
                            <w:r w:rsidRPr="00814F59">
                              <w:rPr>
                                <w:rFonts w:eastAsia="Calibri" w:cstheme="minorHAnsi"/>
                                <w:b/>
                                <w:bCs/>
                                <w:i/>
                                <w:iCs/>
                                <w:sz w:val="20"/>
                                <w:szCs w:val="20"/>
                              </w:rPr>
                              <w:t>Brazilian Monetary Benefit-Sharing is 1% of the annual net revenue</w:t>
                            </w:r>
                            <w:r w:rsidRPr="00814F59">
                              <w:rPr>
                                <w:rFonts w:eastAsia="Calibri" w:cstheme="minorHAnsi"/>
                                <w:i/>
                                <w:iCs/>
                                <w:sz w:val="20"/>
                                <w:szCs w:val="20"/>
                              </w:rPr>
                              <w:t xml:space="preserve"> obtained from economic exploitation of finished product or reproductive material arising from access to GH/ATK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BC3F0" id="_x0000_s1030" type="#_x0000_t202" style="position:absolute;margin-left:1.95pt;margin-top:1.45pt;width:161.25pt;height:110.6pt;z-index:251658245;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" fillcolor="#d9e2f3 [660]" stroked="f">
                <v:textbox style="mso-fit-shape-to-text:t">
                  <w:txbxContent>
                    <w:p w14:paraId="7A6AC4F4" w14:textId="4C91DDC5" w:rsidR="00271D67" w:rsidRPr="00814F59" w:rsidRDefault="00271D67">
                      <w:pPr>
                        <w:rPr>
                          <w:rFonts w:cstheme="minorHAnsi"/>
                          <w:i/>
                          <w:iCs/>
                          <w:sz w:val="20"/>
                          <w:szCs w:val="20"/>
                        </w:rPr>
                      </w:pPr>
                      <w:r w:rsidRPr="00814F59">
                        <w:rPr>
                          <w:rFonts w:eastAsia="Calibri" w:cstheme="minorHAnsi"/>
                          <w:b/>
                          <w:bCs/>
                          <w:i/>
                          <w:iCs/>
                          <w:sz w:val="20"/>
                          <w:szCs w:val="20"/>
                        </w:rPr>
                        <w:t>Brazilian Monetary Benefit-Sharing is 1% of the annual net revenue</w:t>
                      </w:r>
                      <w:r w:rsidRPr="00814F59">
                        <w:rPr>
                          <w:rFonts w:eastAsia="Calibri" w:cstheme="minorHAnsi"/>
                          <w:i/>
                          <w:iCs/>
                          <w:sz w:val="20"/>
                          <w:szCs w:val="20"/>
                        </w:rPr>
                        <w:t xml:space="preserve"> obtained from economic exploitation of finished product or reproductive material arising from access to GH/ATK</w:t>
                      </w:r>
                    </w:p>
                  </w:txbxContent>
                </v:textbox>
                <w10:wrap type="square"/>
              </v:shape>
            </w:pict>
          </mc:Fallback>
        </mc:AlternateContent>
      </w:r>
      <w:r w:rsidRPr="00814F59">
        <w:rPr>
          <w:rFonts w:eastAsia="Calibri" w:cstheme="minorHAnsi"/>
        </w:rPr>
        <w:t>According to Law 13,123/2015, benefit</w:t>
      </w:r>
      <w:r w:rsidR="00961770" w:rsidRPr="00814F59">
        <w:rPr>
          <w:rFonts w:eastAsia="Calibri" w:cstheme="minorHAnsi"/>
        </w:rPr>
        <w:t>s</w:t>
      </w:r>
      <w:r w:rsidRPr="00814F59">
        <w:rPr>
          <w:rFonts w:eastAsia="Calibri" w:cstheme="minorHAnsi"/>
        </w:rPr>
        <w:t xml:space="preserve"> arising from products obtained through access </w:t>
      </w:r>
      <w:r w:rsidR="004F29B2" w:rsidRPr="00814F59">
        <w:rPr>
          <w:rFonts w:eastAsia="Calibri" w:cstheme="minorHAnsi"/>
        </w:rPr>
        <w:t>to</w:t>
      </w:r>
      <w:r w:rsidRPr="00814F59">
        <w:rPr>
          <w:rFonts w:eastAsia="Calibri" w:cstheme="minorHAnsi"/>
        </w:rPr>
        <w:t xml:space="preserve"> Brazilian GH/ATK can be </w:t>
      </w:r>
      <w:r w:rsidR="00961770" w:rsidRPr="00814F59">
        <w:rPr>
          <w:rFonts w:eastAsia="Calibri" w:cstheme="minorHAnsi"/>
        </w:rPr>
        <w:t>shared</w:t>
      </w:r>
      <w:r w:rsidR="00EE1627" w:rsidRPr="00814F59">
        <w:rPr>
          <w:rFonts w:eastAsia="Calibri" w:cstheme="minorHAnsi"/>
        </w:rPr>
        <w:t xml:space="preserve"> by users with the government and traditional communities</w:t>
      </w:r>
      <w:r w:rsidR="00961770" w:rsidRPr="00814F59">
        <w:rPr>
          <w:rFonts w:eastAsia="Calibri" w:cstheme="minorHAnsi"/>
        </w:rPr>
        <w:t xml:space="preserve"> </w:t>
      </w:r>
      <w:r w:rsidRPr="00814F59">
        <w:rPr>
          <w:rFonts w:eastAsia="Calibri" w:cstheme="minorHAnsi"/>
        </w:rPr>
        <w:t xml:space="preserve">in the monetary and non-monetary modalities. The monetary BS was established by the legislation as being 1%, levied </w:t>
      </w:r>
      <w:r w:rsidR="004F29B2" w:rsidRPr="00814F59">
        <w:rPr>
          <w:rFonts w:eastAsia="Calibri" w:cstheme="minorHAnsi"/>
        </w:rPr>
        <w:t xml:space="preserve">yearly </w:t>
      </w:r>
      <w:r w:rsidRPr="00814F59">
        <w:rPr>
          <w:rFonts w:eastAsia="Calibri" w:cstheme="minorHAnsi"/>
        </w:rPr>
        <w:t xml:space="preserve">on the net revenue </w:t>
      </w:r>
      <w:r w:rsidR="004F29B2" w:rsidRPr="00814F59">
        <w:rPr>
          <w:rFonts w:eastAsia="Calibri" w:cstheme="minorHAnsi"/>
        </w:rPr>
        <w:t xml:space="preserve">achieved through the </w:t>
      </w:r>
      <w:r w:rsidRPr="00814F59">
        <w:rPr>
          <w:rFonts w:eastAsia="Calibri" w:cstheme="minorHAnsi"/>
        </w:rPr>
        <w:t xml:space="preserve">commercialization of reproductive material (from </w:t>
      </w:r>
      <w:r w:rsidR="004F29B2" w:rsidRPr="00814F59">
        <w:rPr>
          <w:rFonts w:eastAsia="Calibri" w:cstheme="minorHAnsi"/>
        </w:rPr>
        <w:t xml:space="preserve">selected </w:t>
      </w:r>
      <w:r w:rsidRPr="00814F59">
        <w:rPr>
          <w:rFonts w:eastAsia="Calibri" w:cstheme="minorHAnsi"/>
        </w:rPr>
        <w:t xml:space="preserve">agricultural activities) </w:t>
      </w:r>
      <w:r w:rsidR="004F29B2" w:rsidRPr="00814F59">
        <w:rPr>
          <w:rFonts w:eastAsia="Calibri" w:cstheme="minorHAnsi"/>
        </w:rPr>
        <w:t>or</w:t>
      </w:r>
      <w:r w:rsidRPr="00814F59">
        <w:rPr>
          <w:rFonts w:eastAsia="Calibri" w:cstheme="minorHAnsi"/>
        </w:rPr>
        <w:t xml:space="preserve"> finished products. </w:t>
      </w:r>
    </w:p>
    <w:p w14:paraId="4CE92F59" w14:textId="76213F99" w:rsidR="00271D67" w:rsidRPr="00814F59" w:rsidRDefault="004F29B2" w:rsidP="77604A67">
      <w:pPr>
        <w:spacing w:line="257" w:lineRule="auto"/>
        <w:rPr>
          <w:rFonts w:eastAsia="Calibri" w:cstheme="minorHAnsi"/>
        </w:rPr>
      </w:pPr>
      <w:r w:rsidRPr="00814F59">
        <w:rPr>
          <w:rFonts w:eastAsia="Calibri" w:cstheme="minorHAnsi"/>
        </w:rPr>
        <w:t>For GH/ATK users who had been operating in non-compliance with PM 2,186/2001,</w:t>
      </w:r>
      <w:r w:rsidR="00271D67" w:rsidRPr="00814F59">
        <w:rPr>
          <w:rFonts w:eastAsia="Calibri" w:cstheme="minorHAnsi"/>
        </w:rPr>
        <w:t xml:space="preserve"> the new Brazilian ABS law established</w:t>
      </w:r>
      <w:r w:rsidR="00A14CC1" w:rsidRPr="00814F59">
        <w:rPr>
          <w:rFonts w:eastAsia="Calibri" w:cstheme="minorHAnsi"/>
        </w:rPr>
        <w:t xml:space="preserve"> in its Term of Commitment </w:t>
      </w:r>
      <w:bookmarkStart w:id="5" w:name="_Hlk120118180"/>
      <w:r w:rsidRPr="00814F59">
        <w:rPr>
          <w:rFonts w:eastAsia="Calibri" w:cstheme="minorHAnsi"/>
        </w:rPr>
        <w:t>a regularization procedure</w:t>
      </w:r>
      <w:bookmarkEnd w:id="5"/>
      <w:r w:rsidRPr="00814F59">
        <w:rPr>
          <w:rFonts w:eastAsia="Calibri" w:cstheme="minorHAnsi"/>
        </w:rPr>
        <w:t xml:space="preserve"> </w:t>
      </w:r>
      <w:r w:rsidR="00A14CC1" w:rsidRPr="00814F59">
        <w:rPr>
          <w:rFonts w:eastAsia="Calibri" w:cstheme="minorHAnsi"/>
        </w:rPr>
        <w:t xml:space="preserve">to be signed </w:t>
      </w:r>
      <w:r w:rsidR="00A14CC1" w:rsidRPr="00814F59">
        <w:rPr>
          <w:rFonts w:eastAsia="Calibri" w:cstheme="minorHAnsi"/>
        </w:rPr>
        <w:lastRenderedPageBreak/>
        <w:t xml:space="preserve">between </w:t>
      </w:r>
      <w:r w:rsidRPr="00814F59">
        <w:rPr>
          <w:rFonts w:eastAsia="Calibri" w:cstheme="minorHAnsi"/>
        </w:rPr>
        <w:t xml:space="preserve">the non-compliant user and </w:t>
      </w:r>
      <w:r w:rsidR="00A14CC1" w:rsidRPr="00814F59">
        <w:rPr>
          <w:rFonts w:eastAsia="Calibri" w:cstheme="minorHAnsi"/>
        </w:rPr>
        <w:t>the Union</w:t>
      </w:r>
      <w:r w:rsidR="004F3E14" w:rsidRPr="00814F59">
        <w:rPr>
          <w:rFonts w:eastAsia="Calibri" w:cstheme="minorHAnsi"/>
        </w:rPr>
        <w:t>. It introduced</w:t>
      </w:r>
      <w:r w:rsidR="00271D67" w:rsidRPr="00814F59">
        <w:rPr>
          <w:rFonts w:eastAsia="Calibri" w:cstheme="minorHAnsi"/>
        </w:rPr>
        <w:t xml:space="preserve"> 5-year retroactivity for</w:t>
      </w:r>
      <w:r w:rsidR="004F3E14" w:rsidRPr="00814F59">
        <w:rPr>
          <w:rFonts w:eastAsia="Calibri" w:cstheme="minorHAnsi"/>
        </w:rPr>
        <w:t xml:space="preserve"> benefit sharing to be counted from the </w:t>
      </w:r>
      <w:r w:rsidR="00E6561D" w:rsidRPr="00814F59">
        <w:rPr>
          <w:rFonts w:eastAsia="Calibri" w:cstheme="minorHAnsi"/>
        </w:rPr>
        <w:t>da</w:t>
      </w:r>
      <w:r w:rsidR="00F66189" w:rsidRPr="00814F59">
        <w:rPr>
          <w:rFonts w:eastAsia="Calibri" w:cstheme="minorHAnsi"/>
        </w:rPr>
        <w:t>y</w:t>
      </w:r>
      <w:r w:rsidR="004F3E14" w:rsidRPr="00814F59">
        <w:rPr>
          <w:rFonts w:eastAsia="Calibri" w:cstheme="minorHAnsi"/>
        </w:rPr>
        <w:t xml:space="preserve"> the Term of Commitment</w:t>
      </w:r>
      <w:r w:rsidR="00E6561D" w:rsidRPr="00814F59">
        <w:rPr>
          <w:rFonts w:eastAsia="Calibri" w:cstheme="minorHAnsi"/>
        </w:rPr>
        <w:t xml:space="preserve"> </w:t>
      </w:r>
      <w:r w:rsidR="00F66189" w:rsidRPr="00814F59">
        <w:rPr>
          <w:rFonts w:eastAsia="Calibri" w:cstheme="minorHAnsi"/>
        </w:rPr>
        <w:t xml:space="preserve">was </w:t>
      </w:r>
      <w:r w:rsidR="00E6561D" w:rsidRPr="00814F59">
        <w:rPr>
          <w:rFonts w:eastAsia="Calibri" w:cstheme="minorHAnsi"/>
        </w:rPr>
        <w:t>sign</w:t>
      </w:r>
      <w:r w:rsidR="00F66189" w:rsidRPr="00814F59">
        <w:rPr>
          <w:rFonts w:eastAsia="Calibri" w:cstheme="minorHAnsi"/>
        </w:rPr>
        <w:t xml:space="preserve">ed by both </w:t>
      </w:r>
      <w:r w:rsidR="00E6561D" w:rsidRPr="00814F59">
        <w:rPr>
          <w:rFonts w:eastAsia="Calibri" w:cstheme="minorHAnsi"/>
        </w:rPr>
        <w:t>parties</w:t>
      </w:r>
      <w:r w:rsidR="004F3E14" w:rsidRPr="00814F59">
        <w:rPr>
          <w:rFonts w:eastAsia="Calibri" w:cstheme="minorHAnsi"/>
        </w:rPr>
        <w:t>, meaning the benefits collected under Law 13,123 can cover a period prior to November 2015, when</w:t>
      </w:r>
      <w:r w:rsidR="00FA0EDF" w:rsidRPr="00814F59">
        <w:rPr>
          <w:rFonts w:eastAsia="Calibri" w:cstheme="minorHAnsi"/>
        </w:rPr>
        <w:t xml:space="preserve"> the</w:t>
      </w:r>
      <w:r w:rsidR="004F3E14" w:rsidRPr="00814F59">
        <w:rPr>
          <w:rFonts w:eastAsia="Calibri" w:cstheme="minorHAnsi"/>
        </w:rPr>
        <w:t xml:space="preserve"> </w:t>
      </w:r>
      <w:r w:rsidR="00A14CC1" w:rsidRPr="00814F59">
        <w:rPr>
          <w:rFonts w:eastAsia="Calibri" w:cstheme="minorHAnsi"/>
        </w:rPr>
        <w:t xml:space="preserve">law came </w:t>
      </w:r>
      <w:r w:rsidR="00FA0EDF" w:rsidRPr="00814F59">
        <w:rPr>
          <w:rFonts w:eastAsia="Calibri" w:cstheme="minorHAnsi"/>
        </w:rPr>
        <w:t>in</w:t>
      </w:r>
      <w:r w:rsidR="00A14CC1" w:rsidRPr="00814F59">
        <w:rPr>
          <w:rFonts w:eastAsia="Calibri" w:cstheme="minorHAnsi"/>
        </w:rPr>
        <w:t>to force</w:t>
      </w:r>
      <w:r w:rsidR="00FA0EDF" w:rsidRPr="00814F59">
        <w:rPr>
          <w:rFonts w:eastAsia="Calibri" w:cstheme="minorHAnsi"/>
        </w:rPr>
        <w:t>,</w:t>
      </w:r>
      <w:r w:rsidR="00F66189" w:rsidRPr="00814F59">
        <w:rPr>
          <w:rFonts w:eastAsia="Calibri" w:cstheme="minorHAnsi"/>
        </w:rPr>
        <w:t xml:space="preserve"> as i</w:t>
      </w:r>
      <w:r w:rsidR="00FA0EDF" w:rsidRPr="00814F59">
        <w:rPr>
          <w:rFonts w:eastAsia="Calibri" w:cstheme="minorHAnsi"/>
        </w:rPr>
        <w:t>s</w:t>
      </w:r>
      <w:r w:rsidR="00F66189" w:rsidRPr="00814F59">
        <w:rPr>
          <w:rFonts w:eastAsia="Calibri" w:cstheme="minorHAnsi"/>
        </w:rPr>
        <w:t xml:space="preserve"> shown in </w:t>
      </w:r>
      <w:r w:rsidR="00FA0EDF" w:rsidRPr="00814F59">
        <w:rPr>
          <w:rFonts w:eastAsia="Calibri" w:cstheme="minorHAnsi"/>
        </w:rPr>
        <w:t xml:space="preserve">section </w:t>
      </w:r>
      <w:r w:rsidR="00F66189" w:rsidRPr="00814F59">
        <w:rPr>
          <w:rFonts w:eastAsia="Calibri" w:cstheme="minorHAnsi"/>
        </w:rPr>
        <w:t>3.1.1</w:t>
      </w:r>
      <w:r w:rsidR="00A14CC1" w:rsidRPr="00814F59">
        <w:rPr>
          <w:rFonts w:eastAsia="Calibri" w:cstheme="minorHAnsi"/>
        </w:rPr>
        <w:t>.</w:t>
      </w:r>
    </w:p>
    <w:p w14:paraId="3B174DC8" w14:textId="181AAB52" w:rsidR="00271D67" w:rsidRDefault="00814F59" w:rsidP="749DB7B2">
      <w:pPr>
        <w:spacing w:line="257" w:lineRule="auto"/>
        <w:rPr>
          <w:rFonts w:eastAsia="Calibri" w:cstheme="minorHAnsi"/>
        </w:rPr>
      </w:pPr>
      <w:r w:rsidRPr="00814F59">
        <w:rPr>
          <w:rFonts w:eastAsia="Calibri" w:cstheme="minorHAnsi"/>
          <w:b/>
          <w:bCs/>
          <w:i/>
          <w:iCs/>
          <w:noProof/>
          <w:sz w:val="20"/>
          <w:szCs w:val="20"/>
        </w:rPr>
        <mc:AlternateContent>
          <mc:Choice Requires="wps">
            <w:drawing>
              <wp:anchor distT="45720" distB="45720" distL="114300" distR="114300" simplePos="0" relativeHeight="251658246" behindDoc="0" locked="0" layoutInCell="1" allowOverlap="1" wp14:anchorId="40B1E84E" wp14:editId="79084157">
                <wp:simplePos x="0" y="0"/>
                <wp:positionH relativeFrom="column">
                  <wp:posOffset>-70485</wp:posOffset>
                </wp:positionH>
                <wp:positionV relativeFrom="paragraph">
                  <wp:posOffset>65405</wp:posOffset>
                </wp:positionV>
                <wp:extent cx="2266950" cy="1404620"/>
                <wp:effectExtent l="0" t="0" r="0" b="88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1404620"/>
                        </a:xfrm>
                        <a:prstGeom prst="rect">
                          <a:avLst/>
                        </a:prstGeom>
                        <a:solidFill>
                          <a:srgbClr val="FFFFFF"/>
                        </a:solidFill>
                        <a:ln w="9525">
                          <a:noFill/>
                          <a:miter lim="800000"/>
                          <a:headEnd/>
                          <a:tailEnd/>
                        </a:ln>
                      </wps:spPr>
                      <wps:txbx>
                        <w:txbxContent>
                          <w:p w14:paraId="4EA502D1" w14:textId="6E593D07" w:rsidR="00271D67" w:rsidRPr="00814F59" w:rsidRDefault="00271D67" w:rsidP="00B13364">
                            <w:pPr>
                              <w:shd w:val="clear" w:color="auto" w:fill="D9E2F3" w:themeFill="accent1" w:themeFillTint="33"/>
                              <w:rPr>
                                <w:i/>
                                <w:iCs/>
                                <w:sz w:val="20"/>
                                <w:szCs w:val="20"/>
                              </w:rPr>
                            </w:pPr>
                            <w:r w:rsidRPr="00814F59">
                              <w:rPr>
                                <w:b/>
                                <w:bCs/>
                                <w:i/>
                                <w:iCs/>
                                <w:sz w:val="20"/>
                                <w:szCs w:val="20"/>
                              </w:rPr>
                              <w:t>Brazilian pineapple accessed for food and beverage products</w:t>
                            </w:r>
                            <w:r w:rsidRPr="00814F59">
                              <w:rPr>
                                <w:i/>
                                <w:iCs/>
                                <w:sz w:val="20"/>
                                <w:szCs w:val="20"/>
                              </w:rPr>
                              <w:t xml:space="preserve"> – BS obligations to be met by the </w:t>
                            </w:r>
                            <w:r w:rsidR="004F3E14" w:rsidRPr="00814F59">
                              <w:rPr>
                                <w:i/>
                                <w:iCs/>
                                <w:sz w:val="20"/>
                                <w:szCs w:val="20"/>
                              </w:rPr>
                              <w:t>producer c</w:t>
                            </w:r>
                            <w:r w:rsidRPr="00814F59">
                              <w:rPr>
                                <w:i/>
                                <w:iCs/>
                                <w:sz w:val="20"/>
                                <w:szCs w:val="20"/>
                              </w:rPr>
                              <w:t>ommercializ</w:t>
                            </w:r>
                            <w:r w:rsidR="004F3E14" w:rsidRPr="00814F59">
                              <w:rPr>
                                <w:i/>
                                <w:iCs/>
                                <w:sz w:val="20"/>
                                <w:szCs w:val="20"/>
                              </w:rPr>
                              <w:t>ing</w:t>
                            </w:r>
                            <w:r w:rsidRPr="00814F59">
                              <w:rPr>
                                <w:i/>
                                <w:iCs/>
                                <w:sz w:val="20"/>
                                <w:szCs w:val="20"/>
                              </w:rPr>
                              <w:t xml:space="preserve"> reproductive material   </w:t>
                            </w:r>
                          </w:p>
                          <w:p w14:paraId="6F6B7E03" w14:textId="33E537E3" w:rsidR="00271D67" w:rsidRPr="00814F59" w:rsidRDefault="00271D67" w:rsidP="00B13364">
                            <w:pPr>
                              <w:shd w:val="clear" w:color="auto" w:fill="D9E2F3" w:themeFill="accent1" w:themeFillTint="33"/>
                              <w:rPr>
                                <w:i/>
                                <w:iCs/>
                                <w:sz w:val="20"/>
                                <w:szCs w:val="20"/>
                              </w:rPr>
                            </w:pPr>
                            <w:r w:rsidRPr="00814F59">
                              <w:rPr>
                                <w:b/>
                                <w:bCs/>
                                <w:i/>
                                <w:iCs/>
                                <w:sz w:val="20"/>
                                <w:szCs w:val="20"/>
                              </w:rPr>
                              <w:t>Brazilian pineapple species accessed for cosmetic product</w:t>
                            </w:r>
                            <w:r w:rsidRPr="00814F59">
                              <w:rPr>
                                <w:i/>
                                <w:iCs/>
                                <w:sz w:val="20"/>
                                <w:szCs w:val="20"/>
                              </w:rPr>
                              <w:t xml:space="preserve"> – BS obligations to be met by manufacturer</w:t>
                            </w:r>
                            <w:r w:rsidR="004F3E14" w:rsidRPr="00814F59">
                              <w:rPr>
                                <w:i/>
                                <w:iCs/>
                                <w:sz w:val="20"/>
                                <w:szCs w:val="20"/>
                              </w:rPr>
                              <w:t xml:space="preserve"> of the final consumer product</w:t>
                            </w:r>
                            <w:r w:rsidRPr="00814F59">
                              <w:rPr>
                                <w:i/>
                                <w:iCs/>
                                <w:sz w:val="20"/>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0B1E84E" id="_x0000_s1031" type="#_x0000_t202" style="position:absolute;margin-left:-5.55pt;margin-top:5.15pt;width:178.5pt;height:110.6pt;z-index:25165824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" stroked="f">
                <v:textbox style="mso-fit-shape-to-text:t">
                  <w:txbxContent>
                    <w:p w14:paraId="4EA502D1" w14:textId="6E593D07" w:rsidR="00271D67" w:rsidRPr="00814F59" w:rsidRDefault="00271D67" w:rsidP="00B13364">
                      <w:pPr>
                        <w:shd w:val="clear" w:color="auto" w:fill="D9E2F3" w:themeFill="accent1" w:themeFillTint="33"/>
                        <w:rPr>
                          <w:i/>
                          <w:iCs/>
                          <w:sz w:val="20"/>
                          <w:szCs w:val="20"/>
                        </w:rPr>
                      </w:pPr>
                      <w:r w:rsidRPr="00814F59">
                        <w:rPr>
                          <w:b/>
                          <w:bCs/>
                          <w:i/>
                          <w:iCs/>
                          <w:sz w:val="20"/>
                          <w:szCs w:val="20"/>
                        </w:rPr>
                        <w:t>Brazilian pineapple accessed for food and beverage products</w:t>
                      </w:r>
                      <w:r w:rsidRPr="00814F59">
                        <w:rPr>
                          <w:i/>
                          <w:iCs/>
                          <w:sz w:val="20"/>
                          <w:szCs w:val="20"/>
                        </w:rPr>
                        <w:t xml:space="preserve"> – BS obligations to be met by the </w:t>
                      </w:r>
                      <w:r w:rsidR="004F3E14" w:rsidRPr="00814F59">
                        <w:rPr>
                          <w:i/>
                          <w:iCs/>
                          <w:sz w:val="20"/>
                          <w:szCs w:val="20"/>
                        </w:rPr>
                        <w:t>producer c</w:t>
                      </w:r>
                      <w:r w:rsidRPr="00814F59">
                        <w:rPr>
                          <w:i/>
                          <w:iCs/>
                          <w:sz w:val="20"/>
                          <w:szCs w:val="20"/>
                        </w:rPr>
                        <w:t>ommercializ</w:t>
                      </w:r>
                      <w:r w:rsidR="004F3E14" w:rsidRPr="00814F59">
                        <w:rPr>
                          <w:i/>
                          <w:iCs/>
                          <w:sz w:val="20"/>
                          <w:szCs w:val="20"/>
                        </w:rPr>
                        <w:t>ing</w:t>
                      </w:r>
                      <w:r w:rsidRPr="00814F59">
                        <w:rPr>
                          <w:i/>
                          <w:iCs/>
                          <w:sz w:val="20"/>
                          <w:szCs w:val="20"/>
                        </w:rPr>
                        <w:t xml:space="preserve"> reproductive material   </w:t>
                      </w:r>
                    </w:p>
                    <w:p w14:paraId="6F6B7E03" w14:textId="33E537E3" w:rsidR="00271D67" w:rsidRPr="00814F59" w:rsidRDefault="00271D67" w:rsidP="00B13364">
                      <w:pPr>
                        <w:shd w:val="clear" w:color="auto" w:fill="D9E2F3" w:themeFill="accent1" w:themeFillTint="33"/>
                        <w:rPr>
                          <w:i/>
                          <w:iCs/>
                          <w:sz w:val="20"/>
                          <w:szCs w:val="20"/>
                        </w:rPr>
                      </w:pPr>
                      <w:r w:rsidRPr="00814F59">
                        <w:rPr>
                          <w:b/>
                          <w:bCs/>
                          <w:i/>
                          <w:iCs/>
                          <w:sz w:val="20"/>
                          <w:szCs w:val="20"/>
                        </w:rPr>
                        <w:t>Brazilian pineapple species accessed for cosmetic product</w:t>
                      </w:r>
                      <w:r w:rsidRPr="00814F59">
                        <w:rPr>
                          <w:i/>
                          <w:iCs/>
                          <w:sz w:val="20"/>
                          <w:szCs w:val="20"/>
                        </w:rPr>
                        <w:t xml:space="preserve"> – BS obligations to be met by manufacturer</w:t>
                      </w:r>
                      <w:r w:rsidR="004F3E14" w:rsidRPr="00814F59">
                        <w:rPr>
                          <w:i/>
                          <w:iCs/>
                          <w:sz w:val="20"/>
                          <w:szCs w:val="20"/>
                        </w:rPr>
                        <w:t xml:space="preserve"> of the final consumer product</w:t>
                      </w:r>
                      <w:r w:rsidRPr="00814F59">
                        <w:rPr>
                          <w:i/>
                          <w:iCs/>
                          <w:sz w:val="20"/>
                          <w:szCs w:val="20"/>
                        </w:rPr>
                        <w:t xml:space="preserve">  </w:t>
                      </w:r>
                    </w:p>
                  </w:txbxContent>
                </v:textbox>
                <w10:wrap type="square"/>
              </v:shape>
            </w:pict>
          </mc:Fallback>
        </mc:AlternateContent>
      </w:r>
      <w:r w:rsidR="00271D67" w:rsidRPr="00814F59">
        <w:rPr>
          <w:rFonts w:eastAsia="Calibri" w:cstheme="minorHAnsi"/>
        </w:rPr>
        <w:t>Micro and Small business</w:t>
      </w:r>
      <w:r w:rsidR="00A14CC1" w:rsidRPr="00814F59">
        <w:rPr>
          <w:rFonts w:eastAsia="Calibri" w:cstheme="minorHAnsi"/>
        </w:rPr>
        <w:t>es</w:t>
      </w:r>
      <w:r w:rsidR="00271D67" w:rsidRPr="00814F59">
        <w:rPr>
          <w:rFonts w:eastAsia="Calibri" w:cstheme="minorHAnsi"/>
        </w:rPr>
        <w:t xml:space="preserve"> (total revenue</w:t>
      </w:r>
      <w:r w:rsidR="00FA0EDF" w:rsidRPr="00814F59">
        <w:rPr>
          <w:rFonts w:eastAsia="Calibri" w:cstheme="minorHAnsi"/>
        </w:rPr>
        <w:t>s</w:t>
      </w:r>
      <w:r w:rsidR="00271D67" w:rsidRPr="00814F59">
        <w:rPr>
          <w:rFonts w:eastAsia="Calibri" w:cstheme="minorHAnsi"/>
        </w:rPr>
        <w:t xml:space="preserve"> </w:t>
      </w:r>
      <w:r w:rsidR="00FB68A4" w:rsidRPr="00814F59">
        <w:rPr>
          <w:rFonts w:eastAsia="Calibri" w:cstheme="minorHAnsi"/>
        </w:rPr>
        <w:t xml:space="preserve">lower </w:t>
      </w:r>
      <w:r w:rsidR="00271D67" w:rsidRPr="00814F59">
        <w:rPr>
          <w:rFonts w:eastAsia="Calibri" w:cstheme="minorHAnsi"/>
        </w:rPr>
        <w:t>than R$ 4.8 million/year)</w:t>
      </w:r>
      <w:r w:rsidR="00271D67" w:rsidRPr="00814F59">
        <w:rPr>
          <w:rStyle w:val="EndnoteReference"/>
          <w:rFonts w:eastAsia="Calibri" w:cstheme="minorHAnsi"/>
        </w:rPr>
        <w:endnoteReference w:id="17"/>
      </w:r>
      <w:r w:rsidR="00271D67" w:rsidRPr="00814F59">
        <w:rPr>
          <w:rFonts w:eastAsia="Calibri" w:cstheme="minorHAnsi"/>
        </w:rPr>
        <w:t xml:space="preserve"> are exempted from </w:t>
      </w:r>
      <w:r w:rsidR="004F3E14" w:rsidRPr="00814F59">
        <w:rPr>
          <w:rFonts w:eastAsia="Calibri" w:cstheme="minorHAnsi"/>
        </w:rPr>
        <w:t xml:space="preserve">benefit </w:t>
      </w:r>
      <w:r w:rsidR="00441AC2" w:rsidRPr="00814F59">
        <w:rPr>
          <w:rFonts w:eastAsia="Calibri" w:cstheme="minorHAnsi"/>
        </w:rPr>
        <w:t>sharing,</w:t>
      </w:r>
      <w:r w:rsidR="00271D67" w:rsidRPr="00814F59">
        <w:rPr>
          <w:rFonts w:eastAsia="Calibri" w:cstheme="minorHAnsi"/>
        </w:rPr>
        <w:t xml:space="preserve"> but all other companies exploiting goods based on Brazilian GH/ATK can be required to share benefits. They must declare, each fiscal year, the net revenue obtained from the economic exploitation of each finished product or reproductive material, as well as retain and </w:t>
      </w:r>
      <w:r w:rsidR="00441AC2" w:rsidRPr="00814F59">
        <w:rPr>
          <w:rFonts w:eastAsia="Calibri" w:cstheme="minorHAnsi"/>
        </w:rPr>
        <w:t xml:space="preserve">disclose </w:t>
      </w:r>
      <w:r w:rsidR="00811080" w:rsidRPr="00814F59">
        <w:rPr>
          <w:rFonts w:eastAsia="Calibri" w:cstheme="minorHAnsi"/>
        </w:rPr>
        <w:t xml:space="preserve">documents </w:t>
      </w:r>
      <w:r w:rsidR="00441AC2" w:rsidRPr="00814F59">
        <w:rPr>
          <w:rFonts w:eastAsia="Calibri" w:cstheme="minorHAnsi"/>
        </w:rPr>
        <w:t>to</w:t>
      </w:r>
      <w:r w:rsidR="00271D67" w:rsidRPr="00814F59">
        <w:rPr>
          <w:rFonts w:eastAsia="Calibri" w:cstheme="minorHAnsi"/>
        </w:rPr>
        <w:t xml:space="preserve"> the </w:t>
      </w:r>
      <w:r w:rsidR="00811080" w:rsidRPr="00814F59">
        <w:rPr>
          <w:rFonts w:eastAsia="Calibri" w:cstheme="minorHAnsi"/>
        </w:rPr>
        <w:t>authorities</w:t>
      </w:r>
      <w:r w:rsidR="00271D67" w:rsidRPr="00814F59">
        <w:rPr>
          <w:rFonts w:eastAsia="Calibri" w:cstheme="minorHAnsi"/>
        </w:rPr>
        <w:t xml:space="preserve"> to justify their calculation. They must proceed annually with the payment of the BS to the National Benefit-Sharing Fund (NBS</w:t>
      </w:r>
      <w:r w:rsidR="009A3B68" w:rsidRPr="00814F59">
        <w:rPr>
          <w:rFonts w:eastAsia="Calibri" w:cstheme="minorHAnsi"/>
        </w:rPr>
        <w:t>F</w:t>
      </w:r>
      <w:r w:rsidR="00271D67" w:rsidRPr="00814F59">
        <w:rPr>
          <w:rFonts w:eastAsia="Calibri" w:cstheme="minorHAnsi"/>
        </w:rPr>
        <w:t>).</w:t>
      </w:r>
    </w:p>
    <w:p w14:paraId="5432586E" w14:textId="001A53E2" w:rsidR="00271D67" w:rsidRDefault="00271D67" w:rsidP="749DB7B2">
      <w:pPr>
        <w:spacing w:line="257" w:lineRule="auto"/>
        <w:rPr>
          <w:rFonts w:ascii="Calibri" w:eastAsia="Calibri" w:hAnsi="Calibri" w:cs="Calibri"/>
        </w:rPr>
      </w:pPr>
    </w:p>
    <w:p w14:paraId="6129B6DE" w14:textId="40AA7705" w:rsidR="00271D67" w:rsidRPr="00CC26C1" w:rsidRDefault="00271D67" w:rsidP="00C016D0">
      <w:pPr>
        <w:pStyle w:val="Heading3"/>
        <w:numPr>
          <w:ilvl w:val="2"/>
          <w:numId w:val="3"/>
        </w:numPr>
        <w:rPr>
          <w:color w:val="0070C0"/>
        </w:rPr>
      </w:pPr>
      <w:r w:rsidRPr="00CC26C1">
        <w:rPr>
          <w:color w:val="0070C0"/>
        </w:rPr>
        <w:t xml:space="preserve">Monetary </w:t>
      </w:r>
      <w:r w:rsidR="00C016D0" w:rsidRPr="00CC26C1">
        <w:rPr>
          <w:color w:val="0070C0"/>
        </w:rPr>
        <w:t>benefit sharing</w:t>
      </w:r>
    </w:p>
    <w:p w14:paraId="18594AF4" w14:textId="1E34EF9A" w:rsidR="00271D67" w:rsidRPr="00814F59" w:rsidRDefault="00271D67" w:rsidP="001F2559">
      <w:pPr>
        <w:spacing w:line="257" w:lineRule="auto"/>
        <w:rPr>
          <w:rFonts w:asciiTheme="majorHAnsi" w:hAnsiTheme="majorHAnsi" w:cstheme="majorHAnsi"/>
        </w:rPr>
      </w:pPr>
      <w:r w:rsidRPr="00814F59">
        <w:rPr>
          <w:rFonts w:asciiTheme="majorHAnsi" w:eastAsia="Calibri" w:hAnsiTheme="majorHAnsi" w:cstheme="majorHAnsi"/>
        </w:rPr>
        <w:t>The Brazilian National Benefit Sharing Fund or NBSF became operational in February 2020 and is being managed by the Brazilian National Bank for Economic and Social Development (BNDES)</w:t>
      </w:r>
      <w:r w:rsidRPr="00814F59">
        <w:rPr>
          <w:rStyle w:val="EndnoteReference"/>
          <w:rFonts w:asciiTheme="majorHAnsi" w:eastAsia="Calibri" w:hAnsiTheme="majorHAnsi" w:cstheme="majorHAnsi"/>
        </w:rPr>
        <w:endnoteReference w:id="18"/>
      </w:r>
      <w:r w:rsidRPr="00814F59">
        <w:rPr>
          <w:rFonts w:asciiTheme="majorHAnsi" w:eastAsia="Calibri" w:hAnsiTheme="majorHAnsi" w:cstheme="majorHAnsi"/>
        </w:rPr>
        <w:t xml:space="preserve"> . By the end of August 2022, 55 </w:t>
      </w:r>
      <w:r w:rsidR="00095286" w:rsidRPr="00814F59">
        <w:rPr>
          <w:rFonts w:asciiTheme="majorHAnsi" w:eastAsia="Calibri" w:hAnsiTheme="majorHAnsi" w:cstheme="majorHAnsi"/>
        </w:rPr>
        <w:t>single</w:t>
      </w:r>
      <w:r w:rsidRPr="00814F59">
        <w:rPr>
          <w:rFonts w:asciiTheme="majorHAnsi" w:eastAsia="Calibri" w:hAnsiTheme="majorHAnsi" w:cstheme="majorHAnsi"/>
        </w:rPr>
        <w:t xml:space="preserve"> GH/ATK users </w:t>
      </w:r>
      <w:r w:rsidR="00441AC2" w:rsidRPr="00814F59">
        <w:rPr>
          <w:rFonts w:asciiTheme="majorHAnsi" w:eastAsia="Calibri" w:hAnsiTheme="majorHAnsi" w:cstheme="majorHAnsi"/>
        </w:rPr>
        <w:t xml:space="preserve">had contributed </w:t>
      </w:r>
      <w:r w:rsidRPr="00814F59">
        <w:rPr>
          <w:rFonts w:asciiTheme="majorHAnsi" w:eastAsia="Calibri" w:hAnsiTheme="majorHAnsi" w:cstheme="majorHAnsi"/>
        </w:rPr>
        <w:t xml:space="preserve">monetary </w:t>
      </w:r>
      <w:r w:rsidR="00A14CC1" w:rsidRPr="00814F59">
        <w:rPr>
          <w:rFonts w:asciiTheme="majorHAnsi" w:eastAsia="Calibri" w:hAnsiTheme="majorHAnsi" w:cstheme="majorHAnsi"/>
        </w:rPr>
        <w:t>benefits</w:t>
      </w:r>
      <w:r w:rsidRPr="00814F59">
        <w:rPr>
          <w:rFonts w:asciiTheme="majorHAnsi" w:eastAsia="Calibri" w:hAnsiTheme="majorHAnsi" w:cstheme="majorHAnsi"/>
        </w:rPr>
        <w:t xml:space="preserve">, and the </w:t>
      </w:r>
      <w:r w:rsidR="00A14CC1" w:rsidRPr="00814F59">
        <w:rPr>
          <w:rFonts w:asciiTheme="majorHAnsi" w:eastAsia="Calibri" w:hAnsiTheme="majorHAnsi" w:cstheme="majorHAnsi"/>
        </w:rPr>
        <w:t xml:space="preserve">total </w:t>
      </w:r>
      <w:r w:rsidRPr="00814F59">
        <w:rPr>
          <w:rFonts w:asciiTheme="majorHAnsi" w:eastAsia="Calibri" w:hAnsiTheme="majorHAnsi" w:cstheme="majorHAnsi"/>
        </w:rPr>
        <w:t>balance available at the NBSF was R$ 5,200,558.05. For the year 2021 alone, the monetary benefit</w:t>
      </w:r>
      <w:r w:rsidR="00A14CC1" w:rsidRPr="00814F59">
        <w:rPr>
          <w:rFonts w:asciiTheme="majorHAnsi" w:eastAsia="Calibri" w:hAnsiTheme="majorHAnsi" w:cstheme="majorHAnsi"/>
        </w:rPr>
        <w:t>s</w:t>
      </w:r>
      <w:r w:rsidRPr="00814F59">
        <w:rPr>
          <w:rFonts w:asciiTheme="majorHAnsi" w:eastAsia="Calibri" w:hAnsiTheme="majorHAnsi" w:cstheme="majorHAnsi"/>
        </w:rPr>
        <w:t xml:space="preserve"> shared by users with the Fund was R$ 610,555.85. According to the data sent by the Ministry of the Environment, R$2,106,414.09 came from GH/ATK regularization </w:t>
      </w:r>
      <w:r w:rsidR="00BC16EC" w:rsidRPr="00814F59">
        <w:rPr>
          <w:rFonts w:asciiTheme="majorHAnsi" w:eastAsia="Calibri" w:hAnsiTheme="majorHAnsi" w:cstheme="majorHAnsi"/>
        </w:rPr>
        <w:t xml:space="preserve">of prior </w:t>
      </w:r>
      <w:r w:rsidRPr="00814F59">
        <w:rPr>
          <w:rFonts w:asciiTheme="majorHAnsi" w:eastAsia="Calibri" w:hAnsiTheme="majorHAnsi" w:cstheme="majorHAnsi"/>
        </w:rPr>
        <w:t xml:space="preserve">activities and R$3,094,143.96 from new activities with GH/ATK. </w:t>
      </w:r>
    </w:p>
    <w:p w14:paraId="349D2020" w14:textId="626075C3" w:rsidR="00271D67" w:rsidRPr="00814F59" w:rsidRDefault="00271D67" w:rsidP="001F2559">
      <w:pPr>
        <w:spacing w:line="257" w:lineRule="auto"/>
        <w:rPr>
          <w:rFonts w:asciiTheme="majorHAnsi" w:hAnsiTheme="majorHAnsi" w:cstheme="majorHAnsi"/>
        </w:rPr>
      </w:pPr>
      <w:r w:rsidRPr="00814F59">
        <w:rPr>
          <w:rFonts w:asciiTheme="majorHAnsi" w:eastAsia="Calibri" w:hAnsiTheme="majorHAnsi" w:cstheme="majorHAnsi"/>
        </w:rPr>
        <w:t>In addition to the monetary BS revenue</w:t>
      </w:r>
      <w:r w:rsidR="00441AC2" w:rsidRPr="00814F59">
        <w:rPr>
          <w:rFonts w:asciiTheme="majorHAnsi" w:eastAsia="Calibri" w:hAnsiTheme="majorHAnsi" w:cstheme="majorHAnsi"/>
        </w:rPr>
        <w:t>s</w:t>
      </w:r>
      <w:r w:rsidRPr="00814F59">
        <w:rPr>
          <w:rFonts w:asciiTheme="majorHAnsi" w:eastAsia="Calibri" w:hAnsiTheme="majorHAnsi" w:cstheme="majorHAnsi"/>
        </w:rPr>
        <w:t xml:space="preserve">, the NBSF </w:t>
      </w:r>
      <w:r w:rsidR="008A0DF2" w:rsidRPr="00814F59">
        <w:rPr>
          <w:rFonts w:asciiTheme="majorHAnsi" w:eastAsia="Calibri" w:hAnsiTheme="majorHAnsi" w:cstheme="majorHAnsi"/>
        </w:rPr>
        <w:t xml:space="preserve">can also be supplied </w:t>
      </w:r>
      <w:r w:rsidR="00ED0B08" w:rsidRPr="00814F59">
        <w:rPr>
          <w:rFonts w:asciiTheme="majorHAnsi" w:eastAsia="Calibri" w:hAnsiTheme="majorHAnsi" w:cstheme="majorHAnsi"/>
        </w:rPr>
        <w:t>by</w:t>
      </w:r>
      <w:r w:rsidRPr="00814F59">
        <w:rPr>
          <w:rFonts w:asciiTheme="majorHAnsi" w:eastAsia="Calibri" w:hAnsiTheme="majorHAnsi" w:cstheme="majorHAnsi"/>
        </w:rPr>
        <w:t>:</w:t>
      </w:r>
    </w:p>
    <w:p w14:paraId="0AE628EB" w14:textId="30920D47" w:rsidR="00271D67" w:rsidRPr="00814F59" w:rsidRDefault="00271D67">
      <w:pPr>
        <w:pStyle w:val="ListParagraph"/>
        <w:numPr>
          <w:ilvl w:val="0"/>
          <w:numId w:val="1"/>
        </w:numPr>
        <w:spacing w:line="257" w:lineRule="auto"/>
        <w:rPr>
          <w:rFonts w:asciiTheme="majorHAnsi" w:eastAsia="Calibri" w:hAnsiTheme="majorHAnsi" w:cstheme="majorHAnsi"/>
        </w:rPr>
      </w:pPr>
      <w:r w:rsidRPr="00814F59">
        <w:rPr>
          <w:rFonts w:asciiTheme="majorHAnsi" w:eastAsia="Calibri" w:hAnsiTheme="majorHAnsi" w:cstheme="majorHAnsi"/>
        </w:rPr>
        <w:t xml:space="preserve">Annual budgeted appropriations and additional credits </w:t>
      </w:r>
      <w:r w:rsidR="00697F64" w:rsidRPr="00814F59">
        <w:rPr>
          <w:rFonts w:asciiTheme="majorHAnsi" w:eastAsia="Calibri" w:hAnsiTheme="majorHAnsi" w:cstheme="majorHAnsi"/>
        </w:rPr>
        <w:t xml:space="preserve">by the </w:t>
      </w:r>
      <w:r w:rsidR="007674D7" w:rsidRPr="00814F59">
        <w:rPr>
          <w:rFonts w:asciiTheme="majorHAnsi" w:eastAsia="Calibri" w:hAnsiTheme="majorHAnsi" w:cstheme="majorHAnsi"/>
        </w:rPr>
        <w:t>Union</w:t>
      </w:r>
    </w:p>
    <w:p w14:paraId="3ABC892D" w14:textId="2BA7E6EB" w:rsidR="00271D67" w:rsidRPr="00814F59" w:rsidRDefault="00271D67">
      <w:pPr>
        <w:pStyle w:val="ListParagraph"/>
        <w:numPr>
          <w:ilvl w:val="0"/>
          <w:numId w:val="1"/>
        </w:numPr>
        <w:spacing w:line="257" w:lineRule="auto"/>
        <w:rPr>
          <w:rFonts w:asciiTheme="majorHAnsi" w:eastAsia="Calibri" w:hAnsiTheme="majorHAnsi" w:cstheme="majorHAnsi"/>
        </w:rPr>
      </w:pPr>
      <w:r w:rsidRPr="00814F59">
        <w:rPr>
          <w:rFonts w:asciiTheme="majorHAnsi" w:eastAsia="Calibri" w:hAnsiTheme="majorHAnsi" w:cstheme="majorHAnsi"/>
        </w:rPr>
        <w:t>Donations</w:t>
      </w:r>
    </w:p>
    <w:p w14:paraId="6DE759F6" w14:textId="46D71C8E" w:rsidR="00271D67" w:rsidRPr="00814F59" w:rsidRDefault="00BE69AB">
      <w:pPr>
        <w:pStyle w:val="ListParagraph"/>
        <w:numPr>
          <w:ilvl w:val="0"/>
          <w:numId w:val="1"/>
        </w:numPr>
        <w:spacing w:line="257" w:lineRule="auto"/>
        <w:rPr>
          <w:rFonts w:asciiTheme="majorHAnsi" w:eastAsia="Calibri" w:hAnsiTheme="majorHAnsi" w:cstheme="majorHAnsi"/>
        </w:rPr>
      </w:pPr>
      <w:r w:rsidRPr="00814F59">
        <w:rPr>
          <w:rFonts w:asciiTheme="majorHAnsi" w:eastAsia="Calibri" w:hAnsiTheme="majorHAnsi" w:cstheme="majorHAnsi"/>
        </w:rPr>
        <w:t>F</w:t>
      </w:r>
      <w:r w:rsidR="00271D67" w:rsidRPr="00814F59">
        <w:rPr>
          <w:rFonts w:asciiTheme="majorHAnsi" w:eastAsia="Calibri" w:hAnsiTheme="majorHAnsi" w:cstheme="majorHAnsi"/>
        </w:rPr>
        <w:t xml:space="preserve">ines arising from sanctions for non-compliance with the </w:t>
      </w:r>
      <w:r w:rsidR="00131390" w:rsidRPr="00814F59">
        <w:rPr>
          <w:rFonts w:asciiTheme="majorHAnsi" w:eastAsia="Calibri" w:hAnsiTheme="majorHAnsi" w:cstheme="majorHAnsi"/>
        </w:rPr>
        <w:t>l</w:t>
      </w:r>
      <w:r w:rsidR="00271D67" w:rsidRPr="00814F59">
        <w:rPr>
          <w:rFonts w:asciiTheme="majorHAnsi" w:eastAsia="Calibri" w:hAnsiTheme="majorHAnsi" w:cstheme="majorHAnsi"/>
        </w:rPr>
        <w:t>aw</w:t>
      </w:r>
    </w:p>
    <w:p w14:paraId="5F7331AB" w14:textId="3F28241A" w:rsidR="00271D67" w:rsidRPr="00814F59" w:rsidRDefault="00271D67">
      <w:pPr>
        <w:pStyle w:val="ListParagraph"/>
        <w:numPr>
          <w:ilvl w:val="0"/>
          <w:numId w:val="1"/>
        </w:numPr>
        <w:spacing w:line="257" w:lineRule="auto"/>
        <w:rPr>
          <w:rFonts w:asciiTheme="majorHAnsi" w:eastAsia="Calibri" w:hAnsiTheme="majorHAnsi" w:cstheme="majorHAnsi"/>
        </w:rPr>
      </w:pPr>
      <w:r w:rsidRPr="00814F59">
        <w:rPr>
          <w:rFonts w:asciiTheme="majorHAnsi" w:eastAsia="Calibri" w:hAnsiTheme="majorHAnsi" w:cstheme="majorHAnsi"/>
        </w:rPr>
        <w:t xml:space="preserve">Contracts, treaties, and agreements </w:t>
      </w:r>
      <w:r w:rsidR="001F46E1" w:rsidRPr="00814F59">
        <w:rPr>
          <w:rFonts w:asciiTheme="majorHAnsi" w:eastAsia="Calibri" w:hAnsiTheme="majorHAnsi" w:cstheme="majorHAnsi"/>
        </w:rPr>
        <w:t>related to</w:t>
      </w:r>
      <w:r w:rsidRPr="00814F59">
        <w:rPr>
          <w:rFonts w:asciiTheme="majorHAnsi" w:eastAsia="Calibri" w:hAnsiTheme="majorHAnsi" w:cstheme="majorHAnsi"/>
        </w:rPr>
        <w:t xml:space="preserve"> the purpose of the </w:t>
      </w:r>
      <w:r w:rsidR="00131390" w:rsidRPr="00814F59">
        <w:rPr>
          <w:rFonts w:asciiTheme="majorHAnsi" w:eastAsia="Calibri" w:hAnsiTheme="majorHAnsi" w:cstheme="majorHAnsi"/>
        </w:rPr>
        <w:t>f</w:t>
      </w:r>
      <w:r w:rsidRPr="00814F59">
        <w:rPr>
          <w:rFonts w:asciiTheme="majorHAnsi" w:eastAsia="Calibri" w:hAnsiTheme="majorHAnsi" w:cstheme="majorHAnsi"/>
        </w:rPr>
        <w:t>und and</w:t>
      </w:r>
    </w:p>
    <w:p w14:paraId="61455E56" w14:textId="3E99217B" w:rsidR="00271D67" w:rsidRPr="00814F59" w:rsidRDefault="00271D67">
      <w:pPr>
        <w:pStyle w:val="ListParagraph"/>
        <w:numPr>
          <w:ilvl w:val="0"/>
          <w:numId w:val="1"/>
        </w:numPr>
        <w:spacing w:line="257" w:lineRule="auto"/>
        <w:rPr>
          <w:rFonts w:asciiTheme="majorHAnsi" w:eastAsia="Calibri" w:hAnsiTheme="majorHAnsi" w:cstheme="majorHAnsi"/>
        </w:rPr>
      </w:pPr>
      <w:r w:rsidRPr="00814F59">
        <w:rPr>
          <w:rFonts w:asciiTheme="majorHAnsi" w:eastAsia="Calibri" w:hAnsiTheme="majorHAnsi" w:cstheme="majorHAnsi"/>
        </w:rPr>
        <w:t xml:space="preserve">Other revenues that may be </w:t>
      </w:r>
      <w:r w:rsidR="00131390" w:rsidRPr="00814F59">
        <w:rPr>
          <w:rFonts w:asciiTheme="majorHAnsi" w:eastAsia="Calibri" w:hAnsiTheme="majorHAnsi" w:cstheme="majorHAnsi"/>
        </w:rPr>
        <w:t>dedicated to the NBSF</w:t>
      </w:r>
    </w:p>
    <w:p w14:paraId="2DAE1604" w14:textId="13A65077" w:rsidR="00C016D0" w:rsidRDefault="00123BB6" w:rsidP="00C016D0">
      <w:pPr>
        <w:spacing w:line="257" w:lineRule="auto"/>
        <w:rPr>
          <w:rFonts w:ascii="Calibri" w:eastAsia="Calibri" w:hAnsi="Calibri" w:cs="Calibri"/>
        </w:rPr>
      </w:pPr>
      <w:r w:rsidRPr="00814F59">
        <w:rPr>
          <w:rFonts w:asciiTheme="majorHAnsi" w:eastAsia="Calibri" w:hAnsiTheme="majorHAnsi" w:cstheme="majorHAnsi"/>
          <w:b/>
          <w:bCs/>
          <w:noProof/>
        </w:rPr>
        <mc:AlternateContent>
          <mc:Choice Requires="wps">
            <w:drawing>
              <wp:anchor distT="45720" distB="45720" distL="114300" distR="114300" simplePos="0" relativeHeight="251659264" behindDoc="0" locked="0" layoutInCell="1" allowOverlap="1" wp14:anchorId="5F97C5E9" wp14:editId="133937D7">
                <wp:simplePos x="0" y="0"/>
                <wp:positionH relativeFrom="column">
                  <wp:posOffset>-66675</wp:posOffset>
                </wp:positionH>
                <wp:positionV relativeFrom="paragraph">
                  <wp:posOffset>36830</wp:posOffset>
                </wp:positionV>
                <wp:extent cx="2806700" cy="1404620"/>
                <wp:effectExtent l="0" t="0" r="0" b="889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0" cy="1404620"/>
                        </a:xfrm>
                        <a:prstGeom prst="rect">
                          <a:avLst/>
                        </a:prstGeom>
                        <a:solidFill>
                          <a:srgbClr val="FFFFFF"/>
                        </a:solidFill>
                        <a:ln w="9525">
                          <a:noFill/>
                          <a:miter lim="800000"/>
                          <a:headEnd/>
                          <a:tailEnd/>
                        </a:ln>
                      </wps:spPr>
                      <wps:txbx>
                        <w:txbxContent>
                          <w:p w14:paraId="2F595FB8"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Law 13,123/2015 in force </w:t>
                            </w:r>
                          </w:p>
                          <w:p w14:paraId="12B9E0ED"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(Nov/2015 - Aug/2022) </w:t>
                            </w:r>
                          </w:p>
                          <w:p w14:paraId="7FF697B8"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p>
                          <w:p w14:paraId="322773D1"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Total monetary benefits shared to NBSF R$5,200,558.05 </w:t>
                            </w:r>
                          </w:p>
                          <w:p w14:paraId="2E92EA13" w14:textId="77777777" w:rsidR="00C10425" w:rsidRPr="00814F59" w:rsidRDefault="00C10425" w:rsidP="00C10425">
                            <w:pPr>
                              <w:shd w:val="clear" w:color="auto" w:fill="D9E2F3" w:themeFill="accent1" w:themeFillTint="33"/>
                              <w:spacing w:after="0"/>
                              <w:rPr>
                                <w:rFonts w:ascii="Calibri" w:eastAsia="Calibri" w:hAnsi="Calibri" w:cs="Calibri"/>
                                <w:sz w:val="20"/>
                                <w:szCs w:val="20"/>
                              </w:rPr>
                            </w:pPr>
                          </w:p>
                          <w:p w14:paraId="552AA9E0" w14:textId="77777777" w:rsidR="00C10425" w:rsidRPr="00814F59" w:rsidRDefault="00C10425" w:rsidP="00C10425">
                            <w:pPr>
                              <w:shd w:val="clear" w:color="auto" w:fill="D9E2F3" w:themeFill="accent1" w:themeFillTint="33"/>
                              <w:spacing w:after="0"/>
                              <w:rPr>
                                <w:rFonts w:ascii="Calibri" w:eastAsia="Calibri" w:hAnsi="Calibri" w:cs="Calibri"/>
                                <w:sz w:val="20"/>
                                <w:szCs w:val="20"/>
                              </w:rPr>
                            </w:pPr>
                            <w:r w:rsidRPr="00814F59">
                              <w:rPr>
                                <w:rFonts w:ascii="Calibri" w:eastAsia="Calibri" w:hAnsi="Calibri" w:cs="Calibri"/>
                                <w:sz w:val="20"/>
                                <w:szCs w:val="20"/>
                              </w:rPr>
                              <w:t xml:space="preserve">Total number of BS projects submitted = None </w:t>
                            </w:r>
                          </w:p>
                          <w:p w14:paraId="60C3E172" w14:textId="77777777" w:rsidR="00C10425" w:rsidRPr="00814F59" w:rsidRDefault="00C10425" w:rsidP="00C10425">
                            <w:pPr>
                              <w:shd w:val="clear" w:color="auto" w:fill="D9E2F3" w:themeFill="accent1" w:themeFillTint="33"/>
                              <w:spacing w:after="0"/>
                              <w:rPr>
                                <w:sz w:val="20"/>
                                <w:szCs w:val="20"/>
                              </w:rPr>
                            </w:pPr>
                            <w:r w:rsidRPr="00814F59">
                              <w:rPr>
                                <w:rFonts w:ascii="Calibri" w:eastAsia="Calibri" w:hAnsi="Calibri" w:cs="Calibri"/>
                                <w:sz w:val="20"/>
                                <w:szCs w:val="20"/>
                              </w:rPr>
                              <w:t>Total NBSF investment = R$ Zero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F97C5E9" id="_x0000_s1032" type="#_x0000_t202" style="position:absolute;margin-left:-5.25pt;margin-top:2.9pt;width:221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" stroked="f">
                <v:textbox style="mso-fit-shape-to-text:t">
                  <w:txbxContent>
                    <w:p w14:paraId="2F595FB8"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Law 13,123/2015 in force </w:t>
                      </w:r>
                    </w:p>
                    <w:p w14:paraId="12B9E0ED"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(Nov/2015 - Aug/2022) </w:t>
                      </w:r>
                    </w:p>
                    <w:p w14:paraId="7FF697B8"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p>
                    <w:p w14:paraId="322773D1" w14:textId="77777777" w:rsidR="00C10425" w:rsidRPr="00814F59" w:rsidRDefault="00C10425" w:rsidP="00C10425">
                      <w:pPr>
                        <w:shd w:val="clear" w:color="auto" w:fill="D9E2F3" w:themeFill="accent1" w:themeFillTint="33"/>
                        <w:spacing w:after="0"/>
                        <w:rPr>
                          <w:rFonts w:ascii="Calibri" w:eastAsia="Calibri" w:hAnsi="Calibri" w:cs="Calibri"/>
                          <w:b/>
                          <w:bCs/>
                          <w:sz w:val="20"/>
                          <w:szCs w:val="20"/>
                        </w:rPr>
                      </w:pPr>
                      <w:r w:rsidRPr="00814F59">
                        <w:rPr>
                          <w:rFonts w:ascii="Calibri" w:eastAsia="Calibri" w:hAnsi="Calibri" w:cs="Calibri"/>
                          <w:b/>
                          <w:bCs/>
                          <w:sz w:val="20"/>
                          <w:szCs w:val="20"/>
                        </w:rPr>
                        <w:t xml:space="preserve">Total monetary benefits shared to NBSF R$5,200,558.05 </w:t>
                      </w:r>
                    </w:p>
                    <w:p w14:paraId="2E92EA13" w14:textId="77777777" w:rsidR="00C10425" w:rsidRPr="00814F59" w:rsidRDefault="00C10425" w:rsidP="00C10425">
                      <w:pPr>
                        <w:shd w:val="clear" w:color="auto" w:fill="D9E2F3" w:themeFill="accent1" w:themeFillTint="33"/>
                        <w:spacing w:after="0"/>
                        <w:rPr>
                          <w:rFonts w:ascii="Calibri" w:eastAsia="Calibri" w:hAnsi="Calibri" w:cs="Calibri"/>
                          <w:sz w:val="20"/>
                          <w:szCs w:val="20"/>
                        </w:rPr>
                      </w:pPr>
                    </w:p>
                    <w:p w14:paraId="552AA9E0" w14:textId="77777777" w:rsidR="00C10425" w:rsidRPr="00814F59" w:rsidRDefault="00C10425" w:rsidP="00C10425">
                      <w:pPr>
                        <w:shd w:val="clear" w:color="auto" w:fill="D9E2F3" w:themeFill="accent1" w:themeFillTint="33"/>
                        <w:spacing w:after="0"/>
                        <w:rPr>
                          <w:rFonts w:ascii="Calibri" w:eastAsia="Calibri" w:hAnsi="Calibri" w:cs="Calibri"/>
                          <w:sz w:val="20"/>
                          <w:szCs w:val="20"/>
                        </w:rPr>
                      </w:pPr>
                      <w:r w:rsidRPr="00814F59">
                        <w:rPr>
                          <w:rFonts w:ascii="Calibri" w:eastAsia="Calibri" w:hAnsi="Calibri" w:cs="Calibri"/>
                          <w:sz w:val="20"/>
                          <w:szCs w:val="20"/>
                        </w:rPr>
                        <w:t xml:space="preserve">Total number of BS projects submitted = None </w:t>
                      </w:r>
                    </w:p>
                    <w:p w14:paraId="60C3E172" w14:textId="77777777" w:rsidR="00C10425" w:rsidRPr="00814F59" w:rsidRDefault="00C10425" w:rsidP="00C10425">
                      <w:pPr>
                        <w:shd w:val="clear" w:color="auto" w:fill="D9E2F3" w:themeFill="accent1" w:themeFillTint="33"/>
                        <w:spacing w:after="0"/>
                        <w:rPr>
                          <w:sz w:val="20"/>
                          <w:szCs w:val="20"/>
                        </w:rPr>
                      </w:pPr>
                      <w:r w:rsidRPr="00814F59">
                        <w:rPr>
                          <w:rFonts w:ascii="Calibri" w:eastAsia="Calibri" w:hAnsi="Calibri" w:cs="Calibri"/>
                          <w:sz w:val="20"/>
                          <w:szCs w:val="20"/>
                        </w:rPr>
                        <w:t>Total NBSF investment = R$ Zero</w:t>
                      </w:r>
                    </w:p>
                  </w:txbxContent>
                </v:textbox>
                <w10:wrap type="square"/>
              </v:shape>
            </w:pict>
          </mc:Fallback>
        </mc:AlternateContent>
      </w:r>
      <w:r w:rsidR="00AF4CA7" w:rsidRPr="00814F59">
        <w:rPr>
          <w:rFonts w:asciiTheme="majorHAnsi" w:eastAsia="Calibri" w:hAnsiTheme="majorHAnsi" w:cstheme="majorHAnsi"/>
        </w:rPr>
        <w:t xml:space="preserve">Despite </w:t>
      </w:r>
      <w:r w:rsidR="00E5176B" w:rsidRPr="00814F59">
        <w:rPr>
          <w:rFonts w:asciiTheme="majorHAnsi" w:eastAsia="Calibri" w:hAnsiTheme="majorHAnsi" w:cstheme="majorHAnsi"/>
        </w:rPr>
        <w:t xml:space="preserve">the provision for </w:t>
      </w:r>
      <w:r w:rsidR="00AF4CA7" w:rsidRPr="00814F59">
        <w:rPr>
          <w:rFonts w:asciiTheme="majorHAnsi" w:eastAsia="Calibri" w:hAnsiTheme="majorHAnsi" w:cstheme="majorHAnsi"/>
        </w:rPr>
        <w:t>those additional sources</w:t>
      </w:r>
      <w:r w:rsidR="00E5176B" w:rsidRPr="00814F59">
        <w:rPr>
          <w:rFonts w:asciiTheme="majorHAnsi" w:eastAsia="Calibri" w:hAnsiTheme="majorHAnsi" w:cstheme="majorHAnsi"/>
        </w:rPr>
        <w:t>, t</w:t>
      </w:r>
      <w:r w:rsidR="00CF6200" w:rsidRPr="00814F59">
        <w:rPr>
          <w:rFonts w:asciiTheme="majorHAnsi" w:eastAsia="Calibri" w:hAnsiTheme="majorHAnsi" w:cstheme="majorHAnsi"/>
        </w:rPr>
        <w:t xml:space="preserve">he Ministry </w:t>
      </w:r>
      <w:r w:rsidR="00867DE0" w:rsidRPr="00814F59">
        <w:rPr>
          <w:rFonts w:asciiTheme="majorHAnsi" w:eastAsia="Calibri" w:hAnsiTheme="majorHAnsi" w:cstheme="majorHAnsi"/>
        </w:rPr>
        <w:t>of the Environment</w:t>
      </w:r>
      <w:r w:rsidR="00CF6200" w:rsidRPr="00814F59">
        <w:rPr>
          <w:rFonts w:asciiTheme="majorHAnsi" w:eastAsia="Calibri" w:hAnsiTheme="majorHAnsi" w:cstheme="majorHAnsi"/>
        </w:rPr>
        <w:t xml:space="preserve"> </w:t>
      </w:r>
      <w:r w:rsidR="00250273" w:rsidRPr="00814F59">
        <w:rPr>
          <w:rFonts w:asciiTheme="majorHAnsi" w:eastAsia="Calibri" w:hAnsiTheme="majorHAnsi" w:cstheme="majorHAnsi"/>
        </w:rPr>
        <w:t xml:space="preserve">formally </w:t>
      </w:r>
      <w:r w:rsidR="00CF6200" w:rsidRPr="00814F59">
        <w:rPr>
          <w:rFonts w:asciiTheme="majorHAnsi" w:eastAsia="Calibri" w:hAnsiTheme="majorHAnsi" w:cstheme="majorHAnsi"/>
        </w:rPr>
        <w:t>informed that u</w:t>
      </w:r>
      <w:r w:rsidR="00271D67" w:rsidRPr="00814F59">
        <w:rPr>
          <w:rFonts w:asciiTheme="majorHAnsi" w:eastAsia="Calibri" w:hAnsiTheme="majorHAnsi" w:cstheme="majorHAnsi"/>
        </w:rPr>
        <w:t>ntil August 2022, no other</w:t>
      </w:r>
      <w:r w:rsidR="006A7BB8" w:rsidRPr="00814F59">
        <w:rPr>
          <w:rFonts w:asciiTheme="majorHAnsi" w:eastAsia="Calibri" w:hAnsiTheme="majorHAnsi" w:cstheme="majorHAnsi"/>
        </w:rPr>
        <w:t xml:space="preserve"> financial</w:t>
      </w:r>
      <w:r w:rsidR="00271D67" w:rsidRPr="00814F59">
        <w:rPr>
          <w:rFonts w:asciiTheme="majorHAnsi" w:eastAsia="Calibri" w:hAnsiTheme="majorHAnsi" w:cstheme="majorHAnsi"/>
        </w:rPr>
        <w:t xml:space="preserve"> </w:t>
      </w:r>
      <w:r w:rsidR="009C78F3" w:rsidRPr="00814F59">
        <w:rPr>
          <w:rFonts w:asciiTheme="majorHAnsi" w:eastAsia="Calibri" w:hAnsiTheme="majorHAnsi" w:cstheme="majorHAnsi"/>
        </w:rPr>
        <w:t>resources</w:t>
      </w:r>
      <w:r w:rsidR="00271D67" w:rsidRPr="00814F59">
        <w:rPr>
          <w:rFonts w:asciiTheme="majorHAnsi" w:eastAsia="Calibri" w:hAnsiTheme="majorHAnsi" w:cstheme="majorHAnsi"/>
        </w:rPr>
        <w:t xml:space="preserve"> had been credited to the </w:t>
      </w:r>
      <w:r w:rsidR="00131390" w:rsidRPr="00814F59">
        <w:rPr>
          <w:rFonts w:asciiTheme="majorHAnsi" w:eastAsia="Calibri" w:hAnsiTheme="majorHAnsi" w:cstheme="majorHAnsi"/>
        </w:rPr>
        <w:t>f</w:t>
      </w:r>
      <w:r w:rsidR="00271D67" w:rsidRPr="00814F59">
        <w:rPr>
          <w:rFonts w:asciiTheme="majorHAnsi" w:eastAsia="Calibri" w:hAnsiTheme="majorHAnsi" w:cstheme="majorHAnsi"/>
        </w:rPr>
        <w:t xml:space="preserve">und other than monetary </w:t>
      </w:r>
      <w:r w:rsidR="00250273" w:rsidRPr="00814F59">
        <w:rPr>
          <w:rFonts w:asciiTheme="majorHAnsi" w:eastAsia="Calibri" w:hAnsiTheme="majorHAnsi" w:cstheme="majorHAnsi"/>
        </w:rPr>
        <w:t>benefit sharing contributions</w:t>
      </w:r>
      <w:r w:rsidR="00271D67" w:rsidRPr="006C4CE2">
        <w:rPr>
          <w:rFonts w:ascii="Calibri" w:eastAsia="Calibri" w:hAnsi="Calibri" w:cs="Calibri"/>
        </w:rPr>
        <w:t>.</w:t>
      </w:r>
    </w:p>
    <w:p w14:paraId="6B2406C3" w14:textId="77777777" w:rsidR="00C10425" w:rsidRDefault="00C10425" w:rsidP="00C016D0">
      <w:pPr>
        <w:spacing w:line="257" w:lineRule="auto"/>
        <w:rPr>
          <w:rFonts w:ascii="Calibri" w:eastAsia="Calibri" w:hAnsi="Calibri" w:cs="Calibri"/>
        </w:rPr>
      </w:pPr>
    </w:p>
    <w:p w14:paraId="723B5354" w14:textId="7A9C5B7F" w:rsidR="00F24D21" w:rsidRDefault="00F24D21" w:rsidP="00C016D0">
      <w:pPr>
        <w:spacing w:line="257" w:lineRule="auto"/>
        <w:rPr>
          <w:rFonts w:ascii="Calibri" w:eastAsia="Calibri" w:hAnsi="Calibri" w:cs="Calibri"/>
        </w:rPr>
      </w:pPr>
    </w:p>
    <w:p w14:paraId="5B6F1098" w14:textId="4E002E48" w:rsidR="00814F59" w:rsidRDefault="00814F59" w:rsidP="00C016D0">
      <w:pPr>
        <w:spacing w:line="257" w:lineRule="auto"/>
        <w:rPr>
          <w:rFonts w:ascii="Calibri" w:eastAsia="Calibri" w:hAnsi="Calibri" w:cs="Calibri"/>
        </w:rPr>
      </w:pPr>
    </w:p>
    <w:p w14:paraId="77FC5EF0" w14:textId="77777777" w:rsidR="00814F59" w:rsidRDefault="00814F59" w:rsidP="00C016D0">
      <w:pPr>
        <w:spacing w:line="257" w:lineRule="auto"/>
        <w:rPr>
          <w:rFonts w:ascii="Calibri" w:eastAsia="Calibri" w:hAnsi="Calibri" w:cs="Calibri"/>
        </w:rPr>
      </w:pPr>
    </w:p>
    <w:p w14:paraId="676811E4" w14:textId="3FE23BDE" w:rsidR="00271D67" w:rsidRPr="002625A3" w:rsidRDefault="002625A3" w:rsidP="00F66189">
      <w:pPr>
        <w:spacing w:after="0" w:line="257" w:lineRule="auto"/>
        <w:rPr>
          <w:rFonts w:ascii="Calibri Light" w:eastAsia="Calibri" w:hAnsi="Calibri Light" w:cs="Calibri Light"/>
          <w:color w:val="0070C0"/>
          <w:sz w:val="24"/>
          <w:szCs w:val="24"/>
        </w:rPr>
      </w:pPr>
      <w:r w:rsidRPr="002625A3">
        <w:rPr>
          <w:rFonts w:ascii="Calibri Light" w:eastAsia="Calibri" w:hAnsi="Calibri Light" w:cs="Calibri Light"/>
          <w:color w:val="0070C0"/>
          <w:sz w:val="24"/>
          <w:szCs w:val="24"/>
        </w:rPr>
        <w:lastRenderedPageBreak/>
        <w:t xml:space="preserve">   </w:t>
      </w:r>
      <w:r w:rsidR="00F66189">
        <w:rPr>
          <w:rFonts w:ascii="Calibri Light" w:eastAsia="Calibri" w:hAnsi="Calibri Light" w:cs="Calibri Light"/>
          <w:color w:val="0070C0"/>
          <w:sz w:val="24"/>
          <w:szCs w:val="24"/>
        </w:rPr>
        <w:t xml:space="preserve">  </w:t>
      </w:r>
      <w:r w:rsidR="00C016D0" w:rsidRPr="002625A3">
        <w:rPr>
          <w:rFonts w:ascii="Calibri Light" w:eastAsia="Calibri" w:hAnsi="Calibri Light" w:cs="Calibri Light"/>
          <w:color w:val="0070C0"/>
          <w:sz w:val="24"/>
          <w:szCs w:val="24"/>
        </w:rPr>
        <w:t xml:space="preserve">3.1.2 </w:t>
      </w:r>
      <w:r w:rsidR="00271D67" w:rsidRPr="002625A3">
        <w:rPr>
          <w:rFonts w:ascii="Calibri Light" w:hAnsi="Calibri Light" w:cs="Calibri Light"/>
          <w:color w:val="0070C0"/>
          <w:sz w:val="24"/>
          <w:szCs w:val="24"/>
        </w:rPr>
        <w:t>Non-</w:t>
      </w:r>
      <w:r w:rsidR="00C016D0" w:rsidRPr="002625A3">
        <w:rPr>
          <w:rFonts w:ascii="Calibri Light" w:hAnsi="Calibri Light" w:cs="Calibri Light"/>
          <w:color w:val="0070C0"/>
          <w:sz w:val="24"/>
          <w:szCs w:val="24"/>
        </w:rPr>
        <w:t xml:space="preserve">monetary benefit sharing </w:t>
      </w:r>
    </w:p>
    <w:p w14:paraId="1E8349F2" w14:textId="0ED76AA9" w:rsidR="00271D67" w:rsidRPr="00814F59" w:rsidRDefault="00271D67" w:rsidP="00F66189">
      <w:pPr>
        <w:spacing w:after="0" w:line="257" w:lineRule="auto"/>
        <w:rPr>
          <w:rFonts w:cstheme="minorHAnsi"/>
        </w:rPr>
      </w:pPr>
      <w:r w:rsidRPr="00814F59">
        <w:rPr>
          <w:rFonts w:eastAsia="Calibri" w:cstheme="minorHAnsi"/>
        </w:rPr>
        <w:t xml:space="preserve">According to the Brazilian ABS </w:t>
      </w:r>
      <w:r w:rsidR="00441AC2" w:rsidRPr="00814F59">
        <w:rPr>
          <w:rFonts w:eastAsia="Calibri" w:cstheme="minorHAnsi"/>
        </w:rPr>
        <w:t>framework,</w:t>
      </w:r>
      <w:r w:rsidRPr="00814F59">
        <w:rPr>
          <w:rFonts w:eastAsia="Calibri" w:cstheme="minorHAnsi"/>
        </w:rPr>
        <w:t xml:space="preserve"> the </w:t>
      </w:r>
      <w:r w:rsidR="00441AC2" w:rsidRPr="00814F59">
        <w:rPr>
          <w:rFonts w:eastAsia="Calibri" w:cstheme="minorHAnsi"/>
        </w:rPr>
        <w:t xml:space="preserve">non-monetary </w:t>
      </w:r>
      <w:r w:rsidRPr="00814F59">
        <w:rPr>
          <w:rFonts w:eastAsia="Calibri" w:cstheme="minorHAnsi"/>
        </w:rPr>
        <w:t>benefit sharing must be done through an agreement:</w:t>
      </w:r>
    </w:p>
    <w:p w14:paraId="2DB894E5" w14:textId="50F770C8" w:rsidR="00271D67" w:rsidRPr="00814F59" w:rsidRDefault="00271D67">
      <w:pPr>
        <w:pStyle w:val="ListParagraph"/>
        <w:numPr>
          <w:ilvl w:val="0"/>
          <w:numId w:val="6"/>
        </w:numPr>
        <w:spacing w:line="257" w:lineRule="auto"/>
        <w:rPr>
          <w:rFonts w:eastAsia="Calibri" w:cstheme="minorHAnsi"/>
        </w:rPr>
      </w:pPr>
      <w:r w:rsidRPr="00814F59">
        <w:rPr>
          <w:rFonts w:eastAsia="Calibri" w:cstheme="minorHAnsi"/>
        </w:rPr>
        <w:t>Directly with indigenous populations, traditional communities, traditional farmers</w:t>
      </w:r>
      <w:r w:rsidR="00441AC2" w:rsidRPr="00814F59">
        <w:rPr>
          <w:rFonts w:eastAsia="Calibri" w:cstheme="minorHAnsi"/>
        </w:rPr>
        <w:t xml:space="preserve"> or</w:t>
      </w:r>
      <w:r w:rsidRPr="00814F59">
        <w:rPr>
          <w:rFonts w:eastAsia="Calibri" w:cstheme="minorHAnsi"/>
        </w:rPr>
        <w:t xml:space="preserve"> ATK providers of identifiable origin, in cases of economic exploitation of</w:t>
      </w:r>
      <w:r w:rsidR="00441AC2" w:rsidRPr="00814F59">
        <w:rPr>
          <w:rFonts w:eastAsia="Calibri" w:cstheme="minorHAnsi"/>
        </w:rPr>
        <w:t xml:space="preserve"> a</w:t>
      </w:r>
      <w:r w:rsidRPr="00814F59">
        <w:rPr>
          <w:rFonts w:eastAsia="Calibri" w:cstheme="minorHAnsi"/>
        </w:rPr>
        <w:t xml:space="preserve"> finished product or reproductive material derived from this knowledge, negotiated in a fair and equitable manner between the parties. In this case, the BS will be equivalent to 75% of the forecast for the monetary modality of 1%, or</w:t>
      </w:r>
    </w:p>
    <w:p w14:paraId="1D34CFB6" w14:textId="2355A4E2" w:rsidR="00271D67" w:rsidRPr="00814F59" w:rsidRDefault="00271D67">
      <w:pPr>
        <w:pStyle w:val="ListParagraph"/>
        <w:numPr>
          <w:ilvl w:val="0"/>
          <w:numId w:val="6"/>
        </w:numPr>
        <w:spacing w:line="257" w:lineRule="auto"/>
        <w:rPr>
          <w:rFonts w:eastAsia="Calibri" w:cstheme="minorHAnsi"/>
        </w:rPr>
      </w:pPr>
      <w:r w:rsidRPr="00814F59">
        <w:rPr>
          <w:rFonts w:eastAsia="Calibri" w:cstheme="minorHAnsi"/>
        </w:rPr>
        <w:t xml:space="preserve">With the Federal Government, in the case of the economic exploitation of </w:t>
      </w:r>
      <w:r w:rsidR="00441AC2" w:rsidRPr="00814F59">
        <w:rPr>
          <w:rFonts w:eastAsia="Calibri" w:cstheme="minorHAnsi"/>
        </w:rPr>
        <w:t xml:space="preserve">a </w:t>
      </w:r>
      <w:r w:rsidRPr="00814F59">
        <w:rPr>
          <w:rFonts w:eastAsia="Calibri" w:cstheme="minorHAnsi"/>
        </w:rPr>
        <w:t>finished product or reproductive material arising from access to GH.</w:t>
      </w:r>
    </w:p>
    <w:p w14:paraId="0E114DA4" w14:textId="0CF40593" w:rsidR="00271D67" w:rsidRPr="00814F59" w:rsidRDefault="00271D67" w:rsidP="00131390">
      <w:pPr>
        <w:spacing w:line="257" w:lineRule="auto"/>
        <w:rPr>
          <w:rFonts w:eastAsia="Calibri" w:cstheme="minorHAnsi"/>
        </w:rPr>
      </w:pPr>
      <w:r w:rsidRPr="00814F59">
        <w:rPr>
          <w:rFonts w:eastAsia="Calibri" w:cstheme="minorHAnsi"/>
          <w:noProof/>
        </w:rPr>
        <mc:AlternateContent>
          <mc:Choice Requires="wps">
            <w:drawing>
              <wp:anchor distT="45720" distB="45720" distL="114300" distR="114300" simplePos="0" relativeHeight="251658247" behindDoc="0" locked="0" layoutInCell="1" allowOverlap="1" wp14:anchorId="687F40C2" wp14:editId="749C4919">
                <wp:simplePos x="0" y="0"/>
                <wp:positionH relativeFrom="column">
                  <wp:posOffset>31750</wp:posOffset>
                </wp:positionH>
                <wp:positionV relativeFrom="paragraph">
                  <wp:posOffset>246380</wp:posOffset>
                </wp:positionV>
                <wp:extent cx="2415540" cy="1404620"/>
                <wp:effectExtent l="0" t="0" r="381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5540" cy="1404620"/>
                        </a:xfrm>
                        <a:prstGeom prst="rect">
                          <a:avLst/>
                        </a:prstGeom>
                        <a:solidFill>
                          <a:schemeClr val="accent1">
                            <a:lumMod val="20000"/>
                            <a:lumOff val="80000"/>
                          </a:schemeClr>
                        </a:solidFill>
                        <a:ln w="9525">
                          <a:noFill/>
                          <a:miter lim="800000"/>
                          <a:headEnd/>
                          <a:tailEnd/>
                        </a:ln>
                      </wps:spPr>
                      <wps:txbx>
                        <w:txbxContent>
                          <w:p w14:paraId="7B95B41F" w14:textId="0264A94C" w:rsidR="00131390" w:rsidRDefault="00271D67" w:rsidP="00D6162C">
                            <w:pPr>
                              <w:spacing w:after="0" w:line="257" w:lineRule="auto"/>
                              <w:rPr>
                                <w:rFonts w:ascii="Calibri" w:eastAsia="Calibri" w:hAnsi="Calibri" w:cs="Calibri"/>
                                <w:b/>
                                <w:bCs/>
                                <w:color w:val="000000" w:themeColor="text1"/>
                                <w:sz w:val="20"/>
                                <w:szCs w:val="20"/>
                              </w:rPr>
                            </w:pPr>
                            <w:r w:rsidRPr="006C4CE2">
                              <w:rPr>
                                <w:rFonts w:ascii="Calibri" w:eastAsia="Calibri" w:hAnsi="Calibri" w:cs="Calibri"/>
                                <w:b/>
                                <w:bCs/>
                                <w:color w:val="000000" w:themeColor="text1"/>
                                <w:sz w:val="20"/>
                                <w:szCs w:val="20"/>
                              </w:rPr>
                              <w:t>Non-Monetary Benefit Sharing</w:t>
                            </w:r>
                          </w:p>
                          <w:p w14:paraId="20F9A7BF" w14:textId="3853A2B4" w:rsidR="00271D67" w:rsidRPr="006C4CE2" w:rsidRDefault="00271D67" w:rsidP="00D6162C">
                            <w:pPr>
                              <w:spacing w:after="0" w:line="257" w:lineRule="auto"/>
                              <w:rPr>
                                <w:rFonts w:ascii="Calibri" w:eastAsia="Calibri" w:hAnsi="Calibri" w:cs="Calibri"/>
                                <w:b/>
                                <w:bCs/>
                                <w:color w:val="000000" w:themeColor="text1"/>
                                <w:sz w:val="20"/>
                                <w:szCs w:val="20"/>
                              </w:rPr>
                            </w:pPr>
                            <w:r w:rsidRPr="006C4CE2">
                              <w:rPr>
                                <w:rFonts w:ascii="Calibri" w:eastAsia="Calibri" w:hAnsi="Calibri" w:cs="Calibri"/>
                                <w:b/>
                                <w:bCs/>
                                <w:color w:val="000000" w:themeColor="text1"/>
                                <w:sz w:val="20"/>
                                <w:szCs w:val="20"/>
                              </w:rPr>
                              <w:t>User-Union</w:t>
                            </w:r>
                          </w:p>
                          <w:p w14:paraId="24A51C96" w14:textId="77777777" w:rsidR="00271D67" w:rsidRPr="00D6162C" w:rsidRDefault="00271D67" w:rsidP="00D6162C">
                            <w:pPr>
                              <w:spacing w:after="0" w:line="257" w:lineRule="auto"/>
                              <w:rPr>
                                <w:rFonts w:ascii="Calibri" w:eastAsia="Calibri" w:hAnsi="Calibri" w:cs="Calibri"/>
                                <w:b/>
                                <w:bCs/>
                                <w:i/>
                                <w:iCs/>
                                <w:color w:val="000000" w:themeColor="text1"/>
                                <w:sz w:val="20"/>
                                <w:szCs w:val="20"/>
                              </w:rPr>
                            </w:pPr>
                            <w:r w:rsidRPr="006C4CE2">
                              <w:rPr>
                                <w:rFonts w:ascii="Calibri" w:eastAsia="Calibri" w:hAnsi="Calibri" w:cs="Calibri"/>
                                <w:b/>
                                <w:bCs/>
                                <w:color w:val="000000" w:themeColor="text1"/>
                                <w:sz w:val="20"/>
                                <w:szCs w:val="20"/>
                              </w:rPr>
                              <w:t>(From inception to August 2022) - TOTALS</w:t>
                            </w:r>
                          </w:p>
                          <w:p w14:paraId="6D4663EE" w14:textId="6A838878" w:rsidR="00271D67" w:rsidRPr="006C4CE2" w:rsidRDefault="00441AC2"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00A730EA">
                              <w:rPr>
                                <w:rFonts w:ascii="Calibri" w:eastAsia="Calibri" w:hAnsi="Calibri" w:cs="Calibri"/>
                                <w:color w:val="000000" w:themeColor="text1"/>
                                <w:sz w:val="20"/>
                                <w:szCs w:val="20"/>
                              </w:rPr>
                              <w:t xml:space="preserve">BS agreement </w:t>
                            </w:r>
                            <w:r w:rsidR="00271D67" w:rsidRPr="006C4CE2">
                              <w:rPr>
                                <w:rFonts w:ascii="Calibri" w:eastAsia="Calibri" w:hAnsi="Calibri" w:cs="Calibri"/>
                                <w:color w:val="000000" w:themeColor="text1"/>
                                <w:sz w:val="20"/>
                                <w:szCs w:val="20"/>
                              </w:rPr>
                              <w:t>proposal</w:t>
                            </w:r>
                            <w:r w:rsidR="000F2080">
                              <w:rPr>
                                <w:rFonts w:ascii="Calibri" w:eastAsia="Calibri" w:hAnsi="Calibri" w:cs="Calibri"/>
                                <w:color w:val="000000" w:themeColor="text1"/>
                                <w:sz w:val="20"/>
                                <w:szCs w:val="20"/>
                              </w:rPr>
                              <w:t>s</w:t>
                            </w:r>
                            <w:r w:rsidR="00271D67" w:rsidRPr="006C4CE2">
                              <w:rPr>
                                <w:rFonts w:ascii="Calibri" w:eastAsia="Calibri" w:hAnsi="Calibri" w:cs="Calibri"/>
                                <w:color w:val="000000" w:themeColor="text1"/>
                                <w:sz w:val="20"/>
                                <w:szCs w:val="20"/>
                              </w:rPr>
                              <w:t xml:space="preserve"> = 35</w:t>
                            </w:r>
                          </w:p>
                          <w:p w14:paraId="40749F91" w14:textId="52AA1169" w:rsidR="00271D67" w:rsidRPr="006C4CE2" w:rsidRDefault="00C8590A"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Single</w:t>
                            </w:r>
                            <w:r w:rsidR="00271D67" w:rsidRPr="006C4CE2">
                              <w:rPr>
                                <w:rFonts w:ascii="Calibri" w:eastAsia="Calibri" w:hAnsi="Calibri" w:cs="Calibri"/>
                                <w:color w:val="000000" w:themeColor="text1"/>
                                <w:sz w:val="20"/>
                                <w:szCs w:val="20"/>
                              </w:rPr>
                              <w:t xml:space="preserve"> users = 25</w:t>
                            </w:r>
                          </w:p>
                          <w:p w14:paraId="551A4C20" w14:textId="0B167315" w:rsidR="00271D67" w:rsidRPr="006C4CE2" w:rsidRDefault="00441AC2"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00A730EA" w:rsidRPr="006C4CE2">
                              <w:rPr>
                                <w:rFonts w:ascii="Calibri" w:eastAsia="Calibri" w:hAnsi="Calibri" w:cs="Calibri"/>
                                <w:color w:val="000000" w:themeColor="text1"/>
                                <w:sz w:val="20"/>
                                <w:szCs w:val="20"/>
                              </w:rPr>
                              <w:t>agreements</w:t>
                            </w:r>
                            <w:r w:rsidR="00A730EA">
                              <w:rPr>
                                <w:rFonts w:ascii="Calibri" w:eastAsia="Calibri" w:hAnsi="Calibri" w:cs="Calibri"/>
                                <w:color w:val="000000" w:themeColor="text1"/>
                                <w:sz w:val="20"/>
                                <w:szCs w:val="20"/>
                              </w:rPr>
                              <w:t xml:space="preserve"> </w:t>
                            </w:r>
                            <w:r w:rsidR="000F2080">
                              <w:rPr>
                                <w:rFonts w:ascii="Calibri" w:eastAsia="Calibri" w:hAnsi="Calibri" w:cs="Calibri"/>
                                <w:color w:val="000000" w:themeColor="text1"/>
                                <w:sz w:val="20"/>
                                <w:szCs w:val="20"/>
                              </w:rPr>
                              <w:t>signed</w:t>
                            </w:r>
                            <w:r w:rsidR="00271D67" w:rsidRPr="006C4CE2">
                              <w:rPr>
                                <w:rFonts w:ascii="Calibri" w:eastAsia="Calibri" w:hAnsi="Calibri" w:cs="Calibri"/>
                                <w:color w:val="000000" w:themeColor="text1"/>
                                <w:sz w:val="20"/>
                                <w:szCs w:val="20"/>
                              </w:rPr>
                              <w:t xml:space="preserve"> = 7</w:t>
                            </w:r>
                          </w:p>
                          <w:p w14:paraId="6CE74848" w14:textId="2E1A5850" w:rsidR="00271D67" w:rsidRPr="006C4CE2" w:rsidRDefault="00271D67" w:rsidP="00D6162C">
                            <w:pPr>
                              <w:spacing w:after="0" w:line="257" w:lineRule="auto"/>
                              <w:rPr>
                                <w:rFonts w:ascii="Calibri" w:eastAsia="Calibri" w:hAnsi="Calibri" w:cs="Calibri"/>
                                <w:color w:val="000000" w:themeColor="text1"/>
                                <w:sz w:val="20"/>
                                <w:szCs w:val="20"/>
                              </w:rPr>
                            </w:pPr>
                            <w:r w:rsidRPr="006C4CE2">
                              <w:rPr>
                                <w:rFonts w:ascii="Calibri" w:eastAsia="Calibri" w:hAnsi="Calibri" w:cs="Calibri"/>
                                <w:color w:val="000000" w:themeColor="text1"/>
                                <w:sz w:val="20"/>
                                <w:szCs w:val="20"/>
                              </w:rPr>
                              <w:t>Value of the projects = R$ 1,310,699.37</w:t>
                            </w:r>
                          </w:p>
                          <w:p w14:paraId="7CFF874D" w14:textId="0F16A65D" w:rsidR="00271D67" w:rsidRDefault="00271D67" w:rsidP="00D6162C">
                            <w:pPr>
                              <w:spacing w:after="0"/>
                            </w:pPr>
                            <w:r w:rsidRPr="006C4CE2">
                              <w:rPr>
                                <w:rFonts w:ascii="Calibri" w:eastAsia="Calibri" w:hAnsi="Calibri" w:cs="Calibri"/>
                                <w:color w:val="000000" w:themeColor="text1"/>
                                <w:sz w:val="20"/>
                                <w:szCs w:val="20"/>
                              </w:rPr>
                              <w:t>Projects initiated = None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7F40C2" id="_x0000_s1033" type="#_x0000_t202" style="position:absolute;margin-left:2.5pt;margin-top:19.4pt;width:190.2pt;height:110.6pt;z-index:25165824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" fillcolor="#d9e2f3 [660]" stroked="f">
                <v:textbox style="mso-fit-shape-to-text:t">
                  <w:txbxContent>
                    <w:p w14:paraId="7B95B41F" w14:textId="0264A94C" w:rsidR="00131390" w:rsidRDefault="00271D67" w:rsidP="00D6162C">
                      <w:pPr>
                        <w:spacing w:after="0" w:line="257" w:lineRule="auto"/>
                        <w:rPr>
                          <w:rFonts w:ascii="Calibri" w:eastAsia="Calibri" w:hAnsi="Calibri" w:cs="Calibri"/>
                          <w:b/>
                          <w:bCs/>
                          <w:color w:val="000000" w:themeColor="text1"/>
                          <w:sz w:val="20"/>
                          <w:szCs w:val="20"/>
                        </w:rPr>
                      </w:pPr>
                      <w:r w:rsidRPr="006C4CE2">
                        <w:rPr>
                          <w:rFonts w:ascii="Calibri" w:eastAsia="Calibri" w:hAnsi="Calibri" w:cs="Calibri"/>
                          <w:b/>
                          <w:bCs/>
                          <w:color w:val="000000" w:themeColor="text1"/>
                          <w:sz w:val="20"/>
                          <w:szCs w:val="20"/>
                        </w:rPr>
                        <w:t>Non-Monetary Benefit Sharing</w:t>
                      </w:r>
                    </w:p>
                    <w:p w14:paraId="20F9A7BF" w14:textId="3853A2B4" w:rsidR="00271D67" w:rsidRPr="006C4CE2" w:rsidRDefault="00271D67" w:rsidP="00D6162C">
                      <w:pPr>
                        <w:spacing w:after="0" w:line="257" w:lineRule="auto"/>
                        <w:rPr>
                          <w:rFonts w:ascii="Calibri" w:eastAsia="Calibri" w:hAnsi="Calibri" w:cs="Calibri"/>
                          <w:b/>
                          <w:bCs/>
                          <w:color w:val="000000" w:themeColor="text1"/>
                          <w:sz w:val="20"/>
                          <w:szCs w:val="20"/>
                        </w:rPr>
                      </w:pPr>
                      <w:r w:rsidRPr="006C4CE2">
                        <w:rPr>
                          <w:rFonts w:ascii="Calibri" w:eastAsia="Calibri" w:hAnsi="Calibri" w:cs="Calibri"/>
                          <w:b/>
                          <w:bCs/>
                          <w:color w:val="000000" w:themeColor="text1"/>
                          <w:sz w:val="20"/>
                          <w:szCs w:val="20"/>
                        </w:rPr>
                        <w:t>User-Union</w:t>
                      </w:r>
                    </w:p>
                    <w:p w14:paraId="24A51C96" w14:textId="77777777" w:rsidR="00271D67" w:rsidRPr="00D6162C" w:rsidRDefault="00271D67" w:rsidP="00D6162C">
                      <w:pPr>
                        <w:spacing w:after="0" w:line="257" w:lineRule="auto"/>
                        <w:rPr>
                          <w:rFonts w:ascii="Calibri" w:eastAsia="Calibri" w:hAnsi="Calibri" w:cs="Calibri"/>
                          <w:b/>
                          <w:bCs/>
                          <w:i/>
                          <w:iCs/>
                          <w:color w:val="000000" w:themeColor="text1"/>
                          <w:sz w:val="20"/>
                          <w:szCs w:val="20"/>
                        </w:rPr>
                      </w:pPr>
                      <w:r w:rsidRPr="006C4CE2">
                        <w:rPr>
                          <w:rFonts w:ascii="Calibri" w:eastAsia="Calibri" w:hAnsi="Calibri" w:cs="Calibri"/>
                          <w:b/>
                          <w:bCs/>
                          <w:color w:val="000000" w:themeColor="text1"/>
                          <w:sz w:val="20"/>
                          <w:szCs w:val="20"/>
                        </w:rPr>
                        <w:t>(From inception to August 2022) - TOTALS</w:t>
                      </w:r>
                    </w:p>
                    <w:p w14:paraId="6D4663EE" w14:textId="6A838878" w:rsidR="00271D67" w:rsidRPr="006C4CE2" w:rsidRDefault="00441AC2"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00A730EA">
                        <w:rPr>
                          <w:rFonts w:ascii="Calibri" w:eastAsia="Calibri" w:hAnsi="Calibri" w:cs="Calibri"/>
                          <w:color w:val="000000" w:themeColor="text1"/>
                          <w:sz w:val="20"/>
                          <w:szCs w:val="20"/>
                        </w:rPr>
                        <w:t xml:space="preserve">BS agreement </w:t>
                      </w:r>
                      <w:r w:rsidR="00271D67" w:rsidRPr="006C4CE2">
                        <w:rPr>
                          <w:rFonts w:ascii="Calibri" w:eastAsia="Calibri" w:hAnsi="Calibri" w:cs="Calibri"/>
                          <w:color w:val="000000" w:themeColor="text1"/>
                          <w:sz w:val="20"/>
                          <w:szCs w:val="20"/>
                        </w:rPr>
                        <w:t>proposal</w:t>
                      </w:r>
                      <w:r w:rsidR="000F2080">
                        <w:rPr>
                          <w:rFonts w:ascii="Calibri" w:eastAsia="Calibri" w:hAnsi="Calibri" w:cs="Calibri"/>
                          <w:color w:val="000000" w:themeColor="text1"/>
                          <w:sz w:val="20"/>
                          <w:szCs w:val="20"/>
                        </w:rPr>
                        <w:t>s</w:t>
                      </w:r>
                      <w:r w:rsidR="00271D67" w:rsidRPr="006C4CE2">
                        <w:rPr>
                          <w:rFonts w:ascii="Calibri" w:eastAsia="Calibri" w:hAnsi="Calibri" w:cs="Calibri"/>
                          <w:color w:val="000000" w:themeColor="text1"/>
                          <w:sz w:val="20"/>
                          <w:szCs w:val="20"/>
                        </w:rPr>
                        <w:t xml:space="preserve"> = 35</w:t>
                      </w:r>
                    </w:p>
                    <w:p w14:paraId="40749F91" w14:textId="52AA1169" w:rsidR="00271D67" w:rsidRPr="006C4CE2" w:rsidRDefault="00C8590A"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Single</w:t>
                      </w:r>
                      <w:r w:rsidR="00271D67" w:rsidRPr="006C4CE2">
                        <w:rPr>
                          <w:rFonts w:ascii="Calibri" w:eastAsia="Calibri" w:hAnsi="Calibri" w:cs="Calibri"/>
                          <w:color w:val="000000" w:themeColor="text1"/>
                          <w:sz w:val="20"/>
                          <w:szCs w:val="20"/>
                        </w:rPr>
                        <w:t xml:space="preserve"> users = 25</w:t>
                      </w:r>
                    </w:p>
                    <w:p w14:paraId="551A4C20" w14:textId="0B167315" w:rsidR="00271D67" w:rsidRPr="006C4CE2" w:rsidRDefault="00441AC2" w:rsidP="00D6162C">
                      <w:pPr>
                        <w:spacing w:after="0" w:line="257" w:lineRule="auto"/>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00A730EA" w:rsidRPr="006C4CE2">
                        <w:rPr>
                          <w:rFonts w:ascii="Calibri" w:eastAsia="Calibri" w:hAnsi="Calibri" w:cs="Calibri"/>
                          <w:color w:val="000000" w:themeColor="text1"/>
                          <w:sz w:val="20"/>
                          <w:szCs w:val="20"/>
                        </w:rPr>
                        <w:t>agreements</w:t>
                      </w:r>
                      <w:r w:rsidR="00A730EA">
                        <w:rPr>
                          <w:rFonts w:ascii="Calibri" w:eastAsia="Calibri" w:hAnsi="Calibri" w:cs="Calibri"/>
                          <w:color w:val="000000" w:themeColor="text1"/>
                          <w:sz w:val="20"/>
                          <w:szCs w:val="20"/>
                        </w:rPr>
                        <w:t xml:space="preserve"> </w:t>
                      </w:r>
                      <w:r w:rsidR="000F2080">
                        <w:rPr>
                          <w:rFonts w:ascii="Calibri" w:eastAsia="Calibri" w:hAnsi="Calibri" w:cs="Calibri"/>
                          <w:color w:val="000000" w:themeColor="text1"/>
                          <w:sz w:val="20"/>
                          <w:szCs w:val="20"/>
                        </w:rPr>
                        <w:t>signed</w:t>
                      </w:r>
                      <w:r w:rsidR="00271D67" w:rsidRPr="006C4CE2">
                        <w:rPr>
                          <w:rFonts w:ascii="Calibri" w:eastAsia="Calibri" w:hAnsi="Calibri" w:cs="Calibri"/>
                          <w:color w:val="000000" w:themeColor="text1"/>
                          <w:sz w:val="20"/>
                          <w:szCs w:val="20"/>
                        </w:rPr>
                        <w:t xml:space="preserve"> = 7</w:t>
                      </w:r>
                    </w:p>
                    <w:p w14:paraId="6CE74848" w14:textId="2E1A5850" w:rsidR="00271D67" w:rsidRPr="006C4CE2" w:rsidRDefault="00271D67" w:rsidP="00D6162C">
                      <w:pPr>
                        <w:spacing w:after="0" w:line="257" w:lineRule="auto"/>
                        <w:rPr>
                          <w:rFonts w:ascii="Calibri" w:eastAsia="Calibri" w:hAnsi="Calibri" w:cs="Calibri"/>
                          <w:color w:val="000000" w:themeColor="text1"/>
                          <w:sz w:val="20"/>
                          <w:szCs w:val="20"/>
                        </w:rPr>
                      </w:pPr>
                      <w:r w:rsidRPr="006C4CE2">
                        <w:rPr>
                          <w:rFonts w:ascii="Calibri" w:eastAsia="Calibri" w:hAnsi="Calibri" w:cs="Calibri"/>
                          <w:color w:val="000000" w:themeColor="text1"/>
                          <w:sz w:val="20"/>
                          <w:szCs w:val="20"/>
                        </w:rPr>
                        <w:t>Value of the projects = R$ 1,310,699.37</w:t>
                      </w:r>
                    </w:p>
                    <w:p w14:paraId="7CFF874D" w14:textId="0F16A65D" w:rsidR="00271D67" w:rsidRDefault="00271D67" w:rsidP="00D6162C">
                      <w:pPr>
                        <w:spacing w:after="0"/>
                      </w:pPr>
                      <w:r w:rsidRPr="006C4CE2">
                        <w:rPr>
                          <w:rFonts w:ascii="Calibri" w:eastAsia="Calibri" w:hAnsi="Calibri" w:cs="Calibri"/>
                          <w:color w:val="000000" w:themeColor="text1"/>
                          <w:sz w:val="20"/>
                          <w:szCs w:val="20"/>
                        </w:rPr>
                        <w:t>Projects initiated = None</w:t>
                      </w:r>
                    </w:p>
                  </w:txbxContent>
                </v:textbox>
                <w10:wrap type="square"/>
              </v:shape>
            </w:pict>
          </mc:Fallback>
        </mc:AlternateContent>
      </w:r>
      <w:r w:rsidRPr="00814F59">
        <w:rPr>
          <w:rFonts w:eastAsia="Calibri" w:cstheme="minorHAnsi"/>
        </w:rPr>
        <w:t xml:space="preserve">According to the Ministry of the </w:t>
      </w:r>
      <w:r w:rsidR="00A730EA" w:rsidRPr="00814F59">
        <w:rPr>
          <w:rFonts w:eastAsia="Calibri" w:cstheme="minorHAnsi"/>
        </w:rPr>
        <w:t>Environment,</w:t>
      </w:r>
      <w:r w:rsidRPr="00814F59">
        <w:rPr>
          <w:rFonts w:eastAsia="Calibri" w:cstheme="minorHAnsi"/>
        </w:rPr>
        <w:t xml:space="preserve"> </w:t>
      </w:r>
      <w:r w:rsidR="00131390" w:rsidRPr="00814F59">
        <w:rPr>
          <w:rFonts w:eastAsia="Calibri" w:cstheme="minorHAnsi"/>
        </w:rPr>
        <w:t>until</w:t>
      </w:r>
      <w:r w:rsidRPr="00814F59">
        <w:rPr>
          <w:rFonts w:eastAsia="Calibri" w:cstheme="minorHAnsi"/>
        </w:rPr>
        <w:t xml:space="preserve"> August 2022</w:t>
      </w:r>
      <w:r w:rsidR="00AB62F9" w:rsidRPr="00814F59">
        <w:rPr>
          <w:rFonts w:eastAsia="Calibri" w:cstheme="minorHAnsi"/>
        </w:rPr>
        <w:t>,</w:t>
      </w:r>
      <w:r w:rsidRPr="00814F59">
        <w:rPr>
          <w:rFonts w:eastAsia="Calibri" w:cstheme="minorHAnsi"/>
        </w:rPr>
        <w:t xml:space="preserve"> they received 35 agreement proposals from 25 </w:t>
      </w:r>
      <w:r w:rsidR="006A7BB8" w:rsidRPr="00814F59">
        <w:rPr>
          <w:rFonts w:eastAsia="Calibri" w:cstheme="minorHAnsi"/>
        </w:rPr>
        <w:t>single</w:t>
      </w:r>
      <w:r w:rsidRPr="00814F59">
        <w:rPr>
          <w:rFonts w:eastAsia="Calibri" w:cstheme="minorHAnsi"/>
        </w:rPr>
        <w:t xml:space="preserve"> GH/ATK users. Seven agreements were formally signed with the Union </w:t>
      </w:r>
      <w:r w:rsidR="00131390" w:rsidRPr="00814F59">
        <w:rPr>
          <w:rFonts w:eastAsia="Calibri" w:cstheme="minorHAnsi"/>
        </w:rPr>
        <w:t>with a</w:t>
      </w:r>
      <w:r w:rsidRPr="00814F59">
        <w:rPr>
          <w:rFonts w:eastAsia="Calibri" w:cstheme="minorHAnsi"/>
        </w:rPr>
        <w:t xml:space="preserve"> combined value of R$ 1,310,699.37. </w:t>
      </w:r>
      <w:r w:rsidR="00131390" w:rsidRPr="00814F59">
        <w:rPr>
          <w:rFonts w:eastAsia="Calibri" w:cstheme="minorHAnsi"/>
        </w:rPr>
        <w:t xml:space="preserve">Twenty-six </w:t>
      </w:r>
      <w:r w:rsidRPr="00814F59">
        <w:rPr>
          <w:rFonts w:eastAsia="Calibri" w:cstheme="minorHAnsi"/>
        </w:rPr>
        <w:t>BS agreement</w:t>
      </w:r>
      <w:r w:rsidR="00BF2664" w:rsidRPr="00814F59">
        <w:rPr>
          <w:rFonts w:eastAsia="Calibri" w:cstheme="minorHAnsi"/>
        </w:rPr>
        <w:t xml:space="preserve"> proposals</w:t>
      </w:r>
      <w:r w:rsidR="00D6527D" w:rsidRPr="00814F59">
        <w:rPr>
          <w:rFonts w:eastAsia="Calibri" w:cstheme="minorHAnsi"/>
        </w:rPr>
        <w:t>,</w:t>
      </w:r>
      <w:r w:rsidR="00131390" w:rsidRPr="00814F59">
        <w:rPr>
          <w:rFonts w:eastAsia="Calibri" w:cstheme="minorHAnsi"/>
        </w:rPr>
        <w:t xml:space="preserve"> involving</w:t>
      </w:r>
      <w:r w:rsidRPr="00814F59">
        <w:rPr>
          <w:rFonts w:eastAsia="Calibri" w:cstheme="minorHAnsi"/>
        </w:rPr>
        <w:t xml:space="preserve"> </w:t>
      </w:r>
      <w:r w:rsidR="00131390" w:rsidRPr="00814F59">
        <w:rPr>
          <w:rFonts w:eastAsia="Calibri" w:cstheme="minorHAnsi"/>
        </w:rPr>
        <w:t xml:space="preserve">19 </w:t>
      </w:r>
      <w:r w:rsidR="00FD5AA9" w:rsidRPr="00814F59">
        <w:rPr>
          <w:rFonts w:eastAsia="Calibri" w:cstheme="minorHAnsi"/>
        </w:rPr>
        <w:t>single</w:t>
      </w:r>
      <w:r w:rsidR="00131390" w:rsidRPr="00814F59">
        <w:rPr>
          <w:rFonts w:eastAsia="Calibri" w:cstheme="minorHAnsi"/>
        </w:rPr>
        <w:t xml:space="preserve"> users</w:t>
      </w:r>
      <w:r w:rsidR="00D6527D" w:rsidRPr="00814F59">
        <w:rPr>
          <w:rFonts w:eastAsia="Calibri" w:cstheme="minorHAnsi"/>
        </w:rPr>
        <w:t>,</w:t>
      </w:r>
      <w:r w:rsidR="00131390" w:rsidRPr="00814F59">
        <w:rPr>
          <w:rFonts w:eastAsia="Calibri" w:cstheme="minorHAnsi"/>
        </w:rPr>
        <w:t xml:space="preserve"> were </w:t>
      </w:r>
      <w:r w:rsidRPr="00814F59">
        <w:rPr>
          <w:rFonts w:eastAsia="Calibri" w:cstheme="minorHAnsi"/>
        </w:rPr>
        <w:t xml:space="preserve">directly negotiated between </w:t>
      </w:r>
      <w:r w:rsidR="00131390" w:rsidRPr="00814F59">
        <w:rPr>
          <w:rFonts w:eastAsia="Calibri" w:cstheme="minorHAnsi"/>
        </w:rPr>
        <w:t xml:space="preserve">the </w:t>
      </w:r>
      <w:r w:rsidRPr="00814F59">
        <w:rPr>
          <w:rFonts w:eastAsia="Calibri" w:cstheme="minorHAnsi"/>
        </w:rPr>
        <w:t xml:space="preserve">user and </w:t>
      </w:r>
      <w:r w:rsidR="00131390" w:rsidRPr="00814F59">
        <w:rPr>
          <w:rFonts w:eastAsia="Calibri" w:cstheme="minorHAnsi"/>
        </w:rPr>
        <w:t xml:space="preserve">the </w:t>
      </w:r>
      <w:r w:rsidRPr="00814F59">
        <w:rPr>
          <w:rFonts w:eastAsia="Calibri" w:cstheme="minorHAnsi"/>
        </w:rPr>
        <w:t xml:space="preserve">GH/ATK providers. Seven of them were </w:t>
      </w:r>
      <w:r w:rsidR="00131390" w:rsidRPr="00814F59">
        <w:rPr>
          <w:rFonts w:eastAsia="Calibri" w:cstheme="minorHAnsi"/>
        </w:rPr>
        <w:t xml:space="preserve">already </w:t>
      </w:r>
      <w:r w:rsidRPr="00814F59">
        <w:rPr>
          <w:rFonts w:eastAsia="Calibri" w:cstheme="minorHAnsi"/>
        </w:rPr>
        <w:t xml:space="preserve">signed between the </w:t>
      </w:r>
      <w:r w:rsidR="00A730EA" w:rsidRPr="00814F59">
        <w:rPr>
          <w:rFonts w:eastAsia="Calibri" w:cstheme="minorHAnsi"/>
        </w:rPr>
        <w:t>p</w:t>
      </w:r>
      <w:r w:rsidR="00131390" w:rsidRPr="00814F59">
        <w:rPr>
          <w:rFonts w:eastAsia="Calibri" w:cstheme="minorHAnsi"/>
        </w:rPr>
        <w:t>arties</w:t>
      </w:r>
      <w:r w:rsidRPr="00814F59">
        <w:rPr>
          <w:rFonts w:eastAsia="Calibri" w:cstheme="minorHAnsi"/>
        </w:rPr>
        <w:t xml:space="preserve"> with </w:t>
      </w:r>
      <w:r w:rsidR="00A730EA" w:rsidRPr="00814F59">
        <w:rPr>
          <w:rFonts w:eastAsia="Calibri" w:cstheme="minorHAnsi"/>
        </w:rPr>
        <w:t>a</w:t>
      </w:r>
      <w:r w:rsidRPr="00814F59">
        <w:rPr>
          <w:rFonts w:eastAsia="Calibri" w:cstheme="minorHAnsi"/>
        </w:rPr>
        <w:t xml:space="preserve"> combined value of R$ 121,975.16. </w:t>
      </w:r>
    </w:p>
    <w:p w14:paraId="48DC3BDC" w14:textId="1FE77F3D" w:rsidR="00271D67" w:rsidRPr="00814F59" w:rsidRDefault="00271D67" w:rsidP="001F2559">
      <w:pPr>
        <w:spacing w:line="257" w:lineRule="auto"/>
        <w:rPr>
          <w:rFonts w:eastAsia="Calibri" w:cstheme="minorHAnsi"/>
        </w:rPr>
      </w:pPr>
      <w:r w:rsidRPr="00814F59">
        <w:rPr>
          <w:rFonts w:eastAsia="Calibri" w:cstheme="minorHAnsi"/>
          <w:noProof/>
        </w:rPr>
        <mc:AlternateContent>
          <mc:Choice Requires="wps">
            <w:drawing>
              <wp:anchor distT="45720" distB="45720" distL="114300" distR="114300" simplePos="0" relativeHeight="251658248" behindDoc="0" locked="0" layoutInCell="1" allowOverlap="1" wp14:anchorId="5B7E1E3A" wp14:editId="2C3EEF66">
                <wp:simplePos x="0" y="0"/>
                <wp:positionH relativeFrom="column">
                  <wp:posOffset>3334385</wp:posOffset>
                </wp:positionH>
                <wp:positionV relativeFrom="paragraph">
                  <wp:posOffset>36830</wp:posOffset>
                </wp:positionV>
                <wp:extent cx="2421890" cy="1404620"/>
                <wp:effectExtent l="0" t="0" r="0" b="889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890" cy="1404620"/>
                        </a:xfrm>
                        <a:prstGeom prst="rect">
                          <a:avLst/>
                        </a:prstGeom>
                        <a:solidFill>
                          <a:srgbClr val="4472C4">
                            <a:lumMod val="20000"/>
                            <a:lumOff val="80000"/>
                          </a:srgbClr>
                        </a:solidFill>
                        <a:ln w="9525">
                          <a:noFill/>
                          <a:miter lim="800000"/>
                          <a:headEnd/>
                          <a:tailEnd/>
                        </a:ln>
                      </wps:spPr>
                      <wps:txbx>
                        <w:txbxContent>
                          <w:p w14:paraId="0671BF1A" w14:textId="6ABF78C9" w:rsidR="000F2080"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Non-Monetary Benefit Sharing</w:t>
                            </w:r>
                          </w:p>
                          <w:p w14:paraId="7401DCE8" w14:textId="77777777" w:rsidR="000F2080"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 xml:space="preserve">User-Provider </w:t>
                            </w:r>
                          </w:p>
                          <w:p w14:paraId="4E8A792A" w14:textId="54BD0F54" w:rsidR="00271D67" w:rsidRPr="00D6162C"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(From inception to August 2022) - TOTALS</w:t>
                            </w:r>
                          </w:p>
                          <w:p w14:paraId="315722DD" w14:textId="109A9493" w:rsidR="00271D67" w:rsidRPr="00D6162C" w:rsidRDefault="00A730E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BS agreement </w:t>
                            </w:r>
                            <w:r w:rsidRPr="006C4CE2">
                              <w:rPr>
                                <w:rFonts w:ascii="Calibri" w:eastAsia="Calibri" w:hAnsi="Calibri" w:cs="Calibri"/>
                                <w:color w:val="000000" w:themeColor="text1"/>
                                <w:sz w:val="20"/>
                                <w:szCs w:val="20"/>
                              </w:rPr>
                              <w:t>proposal</w:t>
                            </w:r>
                            <w:r>
                              <w:rPr>
                                <w:rFonts w:ascii="Calibri" w:eastAsia="Calibri" w:hAnsi="Calibri" w:cs="Calibri"/>
                                <w:color w:val="000000" w:themeColor="text1"/>
                                <w:sz w:val="20"/>
                                <w:szCs w:val="20"/>
                              </w:rPr>
                              <w:t>s</w:t>
                            </w:r>
                            <w:r w:rsidRPr="006C4CE2">
                              <w:rPr>
                                <w:rFonts w:ascii="Calibri" w:eastAsia="Calibri" w:hAnsi="Calibri" w:cs="Calibri"/>
                                <w:color w:val="000000" w:themeColor="text1"/>
                                <w:sz w:val="20"/>
                                <w:szCs w:val="20"/>
                              </w:rPr>
                              <w:t xml:space="preserve"> </w:t>
                            </w:r>
                            <w:r w:rsidR="00271D67" w:rsidRPr="00D6162C">
                              <w:rPr>
                                <w:rFonts w:ascii="Calibri" w:eastAsia="Calibri" w:hAnsi="Calibri" w:cs="Calibri"/>
                                <w:color w:val="000000" w:themeColor="text1"/>
                                <w:sz w:val="20"/>
                                <w:szCs w:val="20"/>
                              </w:rPr>
                              <w:t>= 2</w:t>
                            </w:r>
                            <w:r>
                              <w:rPr>
                                <w:rFonts w:ascii="Calibri" w:eastAsia="Calibri" w:hAnsi="Calibri" w:cs="Calibri"/>
                                <w:color w:val="000000" w:themeColor="text1"/>
                                <w:sz w:val="20"/>
                                <w:szCs w:val="20"/>
                              </w:rPr>
                              <w:t>6</w:t>
                            </w:r>
                          </w:p>
                          <w:p w14:paraId="76E1539F" w14:textId="547D148E" w:rsidR="00271D67" w:rsidRPr="00D6162C" w:rsidRDefault="00C8590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Single</w:t>
                            </w:r>
                            <w:r w:rsidR="00271D67" w:rsidRPr="00D6162C">
                              <w:rPr>
                                <w:rFonts w:ascii="Calibri" w:eastAsia="Calibri" w:hAnsi="Calibri" w:cs="Calibri"/>
                                <w:color w:val="000000" w:themeColor="text1"/>
                                <w:sz w:val="20"/>
                                <w:szCs w:val="20"/>
                              </w:rPr>
                              <w:t xml:space="preserve"> users = 19</w:t>
                            </w:r>
                          </w:p>
                          <w:p w14:paraId="3D51E4B6" w14:textId="1D528EA3" w:rsidR="00271D67" w:rsidRPr="00D6162C" w:rsidRDefault="00A730E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Pr="006C4CE2">
                              <w:rPr>
                                <w:rFonts w:ascii="Calibri" w:eastAsia="Calibri" w:hAnsi="Calibri" w:cs="Calibri"/>
                                <w:color w:val="000000" w:themeColor="text1"/>
                                <w:sz w:val="20"/>
                                <w:szCs w:val="20"/>
                              </w:rPr>
                              <w:t>agreements</w:t>
                            </w:r>
                            <w:r>
                              <w:rPr>
                                <w:rFonts w:ascii="Calibri" w:eastAsia="Calibri" w:hAnsi="Calibri" w:cs="Calibri"/>
                                <w:color w:val="000000" w:themeColor="text1"/>
                                <w:sz w:val="20"/>
                                <w:szCs w:val="20"/>
                              </w:rPr>
                              <w:t xml:space="preserve"> signed</w:t>
                            </w:r>
                            <w:r w:rsidRPr="006C4CE2">
                              <w:rPr>
                                <w:rFonts w:ascii="Calibri" w:eastAsia="Calibri" w:hAnsi="Calibri" w:cs="Calibri"/>
                                <w:color w:val="000000" w:themeColor="text1"/>
                                <w:sz w:val="20"/>
                                <w:szCs w:val="20"/>
                              </w:rPr>
                              <w:t xml:space="preserve"> </w:t>
                            </w:r>
                            <w:r w:rsidR="00271D67" w:rsidRPr="00D6162C">
                              <w:rPr>
                                <w:rFonts w:ascii="Calibri" w:eastAsia="Calibri" w:hAnsi="Calibri" w:cs="Calibri"/>
                                <w:color w:val="000000" w:themeColor="text1"/>
                                <w:sz w:val="20"/>
                                <w:szCs w:val="20"/>
                              </w:rPr>
                              <w:t>= 7</w:t>
                            </w:r>
                          </w:p>
                          <w:p w14:paraId="09BFEDF7" w14:textId="0C9F5A1B" w:rsidR="00271D67" w:rsidRPr="00D6162C" w:rsidRDefault="00271D67" w:rsidP="00D6162C">
                            <w:pPr>
                              <w:spacing w:after="0"/>
                              <w:rPr>
                                <w:rFonts w:ascii="Calibri" w:eastAsia="Calibri" w:hAnsi="Calibri" w:cs="Calibri"/>
                                <w:color w:val="000000" w:themeColor="text1"/>
                                <w:sz w:val="20"/>
                                <w:szCs w:val="20"/>
                              </w:rPr>
                            </w:pPr>
                            <w:r w:rsidRPr="00D6162C">
                              <w:rPr>
                                <w:rFonts w:ascii="Calibri" w:eastAsia="Calibri" w:hAnsi="Calibri" w:cs="Calibri"/>
                                <w:color w:val="000000" w:themeColor="text1"/>
                                <w:sz w:val="20"/>
                                <w:szCs w:val="20"/>
                              </w:rPr>
                              <w:t>Value of the projects = R$ 121,975.16</w:t>
                            </w:r>
                          </w:p>
                          <w:p w14:paraId="19F973FD" w14:textId="2318DA06" w:rsidR="00271D67" w:rsidRPr="00D6162C" w:rsidRDefault="00271D67" w:rsidP="00D6162C">
                            <w:pPr>
                              <w:spacing w:after="0"/>
                            </w:pPr>
                            <w:r w:rsidRPr="00D6162C">
                              <w:rPr>
                                <w:rFonts w:ascii="Calibri" w:eastAsia="Calibri" w:hAnsi="Calibri" w:cs="Calibri"/>
                                <w:color w:val="000000" w:themeColor="text1"/>
                                <w:sz w:val="20"/>
                                <w:szCs w:val="20"/>
                              </w:rPr>
                              <w:t>Projects initiated = None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7E1E3A" id="_x0000_s1034" type="#_x0000_t202" style="position:absolute;margin-left:262.55pt;margin-top:2.9pt;width:190.7pt;height:110.6pt;z-index:251658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" fillcolor="#dae3f3" stroked="f">
                <v:textbox style="mso-fit-shape-to-text:t">
                  <w:txbxContent>
                    <w:p w14:paraId="0671BF1A" w14:textId="6ABF78C9" w:rsidR="000F2080"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Non-Monetary Benefit Sharing</w:t>
                      </w:r>
                    </w:p>
                    <w:p w14:paraId="7401DCE8" w14:textId="77777777" w:rsidR="000F2080"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 xml:space="preserve">User-Provider </w:t>
                      </w:r>
                    </w:p>
                    <w:p w14:paraId="4E8A792A" w14:textId="54BD0F54" w:rsidR="00271D67" w:rsidRPr="00D6162C" w:rsidRDefault="00271D67" w:rsidP="00D6162C">
                      <w:pPr>
                        <w:spacing w:after="0"/>
                        <w:rPr>
                          <w:rFonts w:ascii="Calibri" w:eastAsia="Calibri" w:hAnsi="Calibri" w:cs="Calibri"/>
                          <w:b/>
                          <w:bCs/>
                          <w:color w:val="000000" w:themeColor="text1"/>
                          <w:sz w:val="20"/>
                          <w:szCs w:val="20"/>
                        </w:rPr>
                      </w:pPr>
                      <w:r w:rsidRPr="00D6162C">
                        <w:rPr>
                          <w:rFonts w:ascii="Calibri" w:eastAsia="Calibri" w:hAnsi="Calibri" w:cs="Calibri"/>
                          <w:b/>
                          <w:bCs/>
                          <w:color w:val="000000" w:themeColor="text1"/>
                          <w:sz w:val="20"/>
                          <w:szCs w:val="20"/>
                        </w:rPr>
                        <w:t>(From inception to August 2022) - TOTALS</w:t>
                      </w:r>
                    </w:p>
                    <w:p w14:paraId="315722DD" w14:textId="109A9493" w:rsidR="00271D67" w:rsidRPr="00D6162C" w:rsidRDefault="00A730E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BS agreement </w:t>
                      </w:r>
                      <w:r w:rsidRPr="006C4CE2">
                        <w:rPr>
                          <w:rFonts w:ascii="Calibri" w:eastAsia="Calibri" w:hAnsi="Calibri" w:cs="Calibri"/>
                          <w:color w:val="000000" w:themeColor="text1"/>
                          <w:sz w:val="20"/>
                          <w:szCs w:val="20"/>
                        </w:rPr>
                        <w:t>proposal</w:t>
                      </w:r>
                      <w:r>
                        <w:rPr>
                          <w:rFonts w:ascii="Calibri" w:eastAsia="Calibri" w:hAnsi="Calibri" w:cs="Calibri"/>
                          <w:color w:val="000000" w:themeColor="text1"/>
                          <w:sz w:val="20"/>
                          <w:szCs w:val="20"/>
                        </w:rPr>
                        <w:t>s</w:t>
                      </w:r>
                      <w:r w:rsidRPr="006C4CE2">
                        <w:rPr>
                          <w:rFonts w:ascii="Calibri" w:eastAsia="Calibri" w:hAnsi="Calibri" w:cs="Calibri"/>
                          <w:color w:val="000000" w:themeColor="text1"/>
                          <w:sz w:val="20"/>
                          <w:szCs w:val="20"/>
                        </w:rPr>
                        <w:t xml:space="preserve"> </w:t>
                      </w:r>
                      <w:r w:rsidR="00271D67" w:rsidRPr="00D6162C">
                        <w:rPr>
                          <w:rFonts w:ascii="Calibri" w:eastAsia="Calibri" w:hAnsi="Calibri" w:cs="Calibri"/>
                          <w:color w:val="000000" w:themeColor="text1"/>
                          <w:sz w:val="20"/>
                          <w:szCs w:val="20"/>
                        </w:rPr>
                        <w:t>= 2</w:t>
                      </w:r>
                      <w:r>
                        <w:rPr>
                          <w:rFonts w:ascii="Calibri" w:eastAsia="Calibri" w:hAnsi="Calibri" w:cs="Calibri"/>
                          <w:color w:val="000000" w:themeColor="text1"/>
                          <w:sz w:val="20"/>
                          <w:szCs w:val="20"/>
                        </w:rPr>
                        <w:t>6</w:t>
                      </w:r>
                    </w:p>
                    <w:p w14:paraId="76E1539F" w14:textId="547D148E" w:rsidR="00271D67" w:rsidRPr="00D6162C" w:rsidRDefault="00C8590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Single</w:t>
                      </w:r>
                      <w:r w:rsidR="00271D67" w:rsidRPr="00D6162C">
                        <w:rPr>
                          <w:rFonts w:ascii="Calibri" w:eastAsia="Calibri" w:hAnsi="Calibri" w:cs="Calibri"/>
                          <w:color w:val="000000" w:themeColor="text1"/>
                          <w:sz w:val="20"/>
                          <w:szCs w:val="20"/>
                        </w:rPr>
                        <w:t xml:space="preserve"> users = 19</w:t>
                      </w:r>
                    </w:p>
                    <w:p w14:paraId="3D51E4B6" w14:textId="1D528EA3" w:rsidR="00271D67" w:rsidRPr="00D6162C" w:rsidRDefault="00A730EA" w:rsidP="00D6162C">
                      <w:pPr>
                        <w:spacing w:after="0"/>
                        <w:rPr>
                          <w:rFonts w:ascii="Calibri" w:eastAsia="Calibri" w:hAnsi="Calibri" w:cs="Calibri"/>
                          <w:color w:val="000000" w:themeColor="text1"/>
                          <w:sz w:val="20"/>
                          <w:szCs w:val="20"/>
                        </w:rPr>
                      </w:pPr>
                      <w:r>
                        <w:rPr>
                          <w:rFonts w:ascii="Calibri" w:eastAsia="Calibri" w:hAnsi="Calibri" w:cs="Calibri"/>
                          <w:color w:val="000000" w:themeColor="text1"/>
                          <w:sz w:val="20"/>
                          <w:szCs w:val="20"/>
                        </w:rPr>
                        <w:t xml:space="preserve">Number of </w:t>
                      </w:r>
                      <w:r w:rsidRPr="006C4CE2">
                        <w:rPr>
                          <w:rFonts w:ascii="Calibri" w:eastAsia="Calibri" w:hAnsi="Calibri" w:cs="Calibri"/>
                          <w:color w:val="000000" w:themeColor="text1"/>
                          <w:sz w:val="20"/>
                          <w:szCs w:val="20"/>
                        </w:rPr>
                        <w:t>agreements</w:t>
                      </w:r>
                      <w:r>
                        <w:rPr>
                          <w:rFonts w:ascii="Calibri" w:eastAsia="Calibri" w:hAnsi="Calibri" w:cs="Calibri"/>
                          <w:color w:val="000000" w:themeColor="text1"/>
                          <w:sz w:val="20"/>
                          <w:szCs w:val="20"/>
                        </w:rPr>
                        <w:t xml:space="preserve"> signed</w:t>
                      </w:r>
                      <w:r w:rsidRPr="006C4CE2">
                        <w:rPr>
                          <w:rFonts w:ascii="Calibri" w:eastAsia="Calibri" w:hAnsi="Calibri" w:cs="Calibri"/>
                          <w:color w:val="000000" w:themeColor="text1"/>
                          <w:sz w:val="20"/>
                          <w:szCs w:val="20"/>
                        </w:rPr>
                        <w:t xml:space="preserve"> </w:t>
                      </w:r>
                      <w:r w:rsidR="00271D67" w:rsidRPr="00D6162C">
                        <w:rPr>
                          <w:rFonts w:ascii="Calibri" w:eastAsia="Calibri" w:hAnsi="Calibri" w:cs="Calibri"/>
                          <w:color w:val="000000" w:themeColor="text1"/>
                          <w:sz w:val="20"/>
                          <w:szCs w:val="20"/>
                        </w:rPr>
                        <w:t>= 7</w:t>
                      </w:r>
                    </w:p>
                    <w:p w14:paraId="09BFEDF7" w14:textId="0C9F5A1B" w:rsidR="00271D67" w:rsidRPr="00D6162C" w:rsidRDefault="00271D67" w:rsidP="00D6162C">
                      <w:pPr>
                        <w:spacing w:after="0"/>
                        <w:rPr>
                          <w:rFonts w:ascii="Calibri" w:eastAsia="Calibri" w:hAnsi="Calibri" w:cs="Calibri"/>
                          <w:color w:val="000000" w:themeColor="text1"/>
                          <w:sz w:val="20"/>
                          <w:szCs w:val="20"/>
                        </w:rPr>
                      </w:pPr>
                      <w:r w:rsidRPr="00D6162C">
                        <w:rPr>
                          <w:rFonts w:ascii="Calibri" w:eastAsia="Calibri" w:hAnsi="Calibri" w:cs="Calibri"/>
                          <w:color w:val="000000" w:themeColor="text1"/>
                          <w:sz w:val="20"/>
                          <w:szCs w:val="20"/>
                        </w:rPr>
                        <w:t>Value of the projects = R$ 121,975.16</w:t>
                      </w:r>
                    </w:p>
                    <w:p w14:paraId="19F973FD" w14:textId="2318DA06" w:rsidR="00271D67" w:rsidRPr="00D6162C" w:rsidRDefault="00271D67" w:rsidP="00D6162C">
                      <w:pPr>
                        <w:spacing w:after="0"/>
                      </w:pPr>
                      <w:r w:rsidRPr="00D6162C">
                        <w:rPr>
                          <w:rFonts w:ascii="Calibri" w:eastAsia="Calibri" w:hAnsi="Calibri" w:cs="Calibri"/>
                          <w:color w:val="000000" w:themeColor="text1"/>
                          <w:sz w:val="20"/>
                          <w:szCs w:val="20"/>
                        </w:rPr>
                        <w:t>Projects initiated = None</w:t>
                      </w:r>
                    </w:p>
                  </w:txbxContent>
                </v:textbox>
                <w10:wrap type="square"/>
              </v:shape>
            </w:pict>
          </mc:Fallback>
        </mc:AlternateContent>
      </w:r>
      <w:r w:rsidRPr="00814F59">
        <w:rPr>
          <w:rFonts w:eastAsia="Calibri" w:cstheme="minorHAnsi"/>
        </w:rPr>
        <w:t xml:space="preserve">When </w:t>
      </w:r>
      <w:r w:rsidR="00A730EA" w:rsidRPr="00814F59">
        <w:rPr>
          <w:rFonts w:eastAsia="Calibri" w:cstheme="minorHAnsi"/>
        </w:rPr>
        <w:t xml:space="preserve">asking </w:t>
      </w:r>
      <w:r w:rsidRPr="00814F59">
        <w:rPr>
          <w:rFonts w:eastAsia="Calibri" w:cstheme="minorHAnsi"/>
        </w:rPr>
        <w:t xml:space="preserve">the Ministry of the Environment about the number of projects initiated </w:t>
      </w:r>
      <w:r w:rsidR="00A730EA" w:rsidRPr="00814F59">
        <w:rPr>
          <w:rFonts w:eastAsia="Calibri" w:cstheme="minorHAnsi"/>
        </w:rPr>
        <w:t>through the funds obtained</w:t>
      </w:r>
      <w:r w:rsidRPr="00814F59">
        <w:rPr>
          <w:rFonts w:eastAsia="Calibri" w:cstheme="minorHAnsi"/>
        </w:rPr>
        <w:t>, the answer w</w:t>
      </w:r>
      <w:r w:rsidR="00A730EA" w:rsidRPr="00814F59">
        <w:rPr>
          <w:rFonts w:eastAsia="Calibri" w:cstheme="minorHAnsi"/>
        </w:rPr>
        <w:t>as</w:t>
      </w:r>
      <w:r w:rsidRPr="00814F59">
        <w:rPr>
          <w:rFonts w:eastAsia="Calibri" w:cstheme="minorHAnsi"/>
        </w:rPr>
        <w:t xml:space="preserve"> “none</w:t>
      </w:r>
      <w:r w:rsidR="002625A3" w:rsidRPr="00814F59">
        <w:rPr>
          <w:rFonts w:eastAsia="Calibri" w:cstheme="minorHAnsi"/>
        </w:rPr>
        <w:t>”</w:t>
      </w:r>
      <w:r w:rsidR="00AB62F9" w:rsidRPr="00814F59">
        <w:rPr>
          <w:rFonts w:eastAsia="Calibri" w:cstheme="minorHAnsi"/>
        </w:rPr>
        <w:t>.</w:t>
      </w:r>
      <w:r w:rsidRPr="00814F59">
        <w:rPr>
          <w:rFonts w:eastAsia="Calibri" w:cstheme="minorHAnsi"/>
        </w:rPr>
        <w:t xml:space="preserve"> This data implies that after 6 years and 9 months of the new Law being implemented in the country, the traditional communities in Brazil have not yet received any benefits derived from this public policy.</w:t>
      </w:r>
    </w:p>
    <w:p w14:paraId="68D38E01" w14:textId="4A459A56" w:rsidR="00271D67" w:rsidRDefault="00271D67" w:rsidP="001F2559">
      <w:pPr>
        <w:spacing w:line="257" w:lineRule="auto"/>
        <w:rPr>
          <w:rFonts w:ascii="Calibri" w:eastAsia="Calibri" w:hAnsi="Calibri" w:cs="Calibri"/>
        </w:rPr>
      </w:pPr>
    </w:p>
    <w:p w14:paraId="7A25A5E4" w14:textId="0719332A" w:rsidR="00271D67" w:rsidRPr="00CC26C1" w:rsidRDefault="009A3B68" w:rsidP="00C016D0">
      <w:pPr>
        <w:pStyle w:val="Heading3"/>
        <w:rPr>
          <w:color w:val="0070C0"/>
        </w:rPr>
      </w:pPr>
      <w:r>
        <w:rPr>
          <w:color w:val="0070C0"/>
        </w:rPr>
        <w:t xml:space="preserve">       </w:t>
      </w:r>
      <w:r w:rsidR="00C016D0" w:rsidRPr="000515DB">
        <w:rPr>
          <w:color w:val="0070C0"/>
        </w:rPr>
        <w:t xml:space="preserve">3.1.3 </w:t>
      </w:r>
      <w:r w:rsidR="00162F06" w:rsidRPr="000515DB">
        <w:rPr>
          <w:color w:val="0070C0"/>
        </w:rPr>
        <w:t>Supplementary overview on m</w:t>
      </w:r>
      <w:r w:rsidR="00C016D0" w:rsidRPr="000515DB">
        <w:rPr>
          <w:color w:val="0070C0"/>
        </w:rPr>
        <w:t>onetary</w:t>
      </w:r>
      <w:r w:rsidR="00271D67" w:rsidRPr="000515DB">
        <w:rPr>
          <w:color w:val="0070C0"/>
        </w:rPr>
        <w:t xml:space="preserve"> </w:t>
      </w:r>
      <w:r w:rsidR="00C016D0" w:rsidRPr="000515DB">
        <w:rPr>
          <w:color w:val="0070C0"/>
        </w:rPr>
        <w:t xml:space="preserve">benefit sharing </w:t>
      </w:r>
      <w:r w:rsidR="00271D67" w:rsidRPr="000515DB">
        <w:rPr>
          <w:color w:val="0070C0"/>
        </w:rPr>
        <w:t>under PM 2,816/2001</w:t>
      </w:r>
    </w:p>
    <w:p w14:paraId="115A0555" w14:textId="1804900D" w:rsidR="00271D67" w:rsidRPr="00814F59" w:rsidRDefault="005C41E6" w:rsidP="008636D2">
      <w:pPr>
        <w:rPr>
          <w:rFonts w:cstheme="minorHAnsi"/>
        </w:rPr>
      </w:pPr>
      <w:r w:rsidRPr="00814F59">
        <w:rPr>
          <w:rFonts w:eastAsia="Calibri" w:cstheme="minorHAnsi"/>
        </w:rPr>
        <w:t xml:space="preserve">Before 2015, </w:t>
      </w:r>
      <w:r w:rsidR="00415C6A" w:rsidRPr="00814F59">
        <w:rPr>
          <w:rFonts w:eastAsia="Calibri" w:cstheme="minorHAnsi"/>
        </w:rPr>
        <w:t>a</w:t>
      </w:r>
      <w:r w:rsidR="00271D67" w:rsidRPr="00814F59">
        <w:rPr>
          <w:rFonts w:eastAsia="Calibri" w:cstheme="minorHAnsi"/>
        </w:rPr>
        <w:t xml:space="preserve">ccording to PM 2,816/2001, in addition to obtaining prior authorization (PIC), </w:t>
      </w:r>
      <w:r w:rsidR="000F2080" w:rsidRPr="00814F59">
        <w:rPr>
          <w:rFonts w:eastAsia="Calibri" w:cstheme="minorHAnsi"/>
        </w:rPr>
        <w:t>an</w:t>
      </w:r>
      <w:r w:rsidR="00271D67" w:rsidRPr="00814F59">
        <w:rPr>
          <w:rFonts w:eastAsia="Calibri" w:cstheme="minorHAnsi"/>
        </w:rPr>
        <w:t xml:space="preserve"> applicant </w:t>
      </w:r>
      <w:r w:rsidR="000F2080" w:rsidRPr="00814F59">
        <w:rPr>
          <w:rFonts w:eastAsia="Calibri" w:cstheme="minorHAnsi"/>
        </w:rPr>
        <w:t xml:space="preserve">for commercial use </w:t>
      </w:r>
      <w:r w:rsidR="00271D67" w:rsidRPr="00814F59">
        <w:rPr>
          <w:rFonts w:eastAsia="Calibri" w:cstheme="minorHAnsi"/>
        </w:rPr>
        <w:t xml:space="preserve">was required to sign Mutually Agreed Terms (MAT) for access to GH detailing </w:t>
      </w:r>
      <w:r w:rsidR="00A730EA" w:rsidRPr="00814F59">
        <w:rPr>
          <w:rFonts w:eastAsia="Calibri" w:cstheme="minorHAnsi"/>
        </w:rPr>
        <w:t>(</w:t>
      </w:r>
      <w:r w:rsidR="00FB5839" w:rsidRPr="00814F59">
        <w:rPr>
          <w:rFonts w:eastAsia="Calibri" w:cstheme="minorHAnsi"/>
        </w:rPr>
        <w:t>1</w:t>
      </w:r>
      <w:r w:rsidR="00A730EA" w:rsidRPr="00814F59">
        <w:rPr>
          <w:rFonts w:eastAsia="Calibri" w:cstheme="minorHAnsi"/>
        </w:rPr>
        <w:t xml:space="preserve">) </w:t>
      </w:r>
      <w:r w:rsidR="00271D67" w:rsidRPr="00814F59">
        <w:rPr>
          <w:rFonts w:eastAsia="Calibri" w:cstheme="minorHAnsi"/>
        </w:rPr>
        <w:t xml:space="preserve">the biological resources and the ATK accessed, </w:t>
      </w:r>
      <w:r w:rsidR="00A730EA" w:rsidRPr="00814F59">
        <w:rPr>
          <w:rFonts w:eastAsia="Calibri" w:cstheme="minorHAnsi"/>
        </w:rPr>
        <w:t>(</w:t>
      </w:r>
      <w:r w:rsidR="00FB5839" w:rsidRPr="00814F59">
        <w:rPr>
          <w:rFonts w:eastAsia="Calibri" w:cstheme="minorHAnsi"/>
        </w:rPr>
        <w:t>2</w:t>
      </w:r>
      <w:r w:rsidR="00A730EA" w:rsidRPr="00814F59">
        <w:rPr>
          <w:rFonts w:eastAsia="Calibri" w:cstheme="minorHAnsi"/>
        </w:rPr>
        <w:t>)</w:t>
      </w:r>
      <w:r w:rsidR="00271D67" w:rsidRPr="00814F59">
        <w:rPr>
          <w:rFonts w:eastAsia="Calibri" w:cstheme="minorHAnsi"/>
        </w:rPr>
        <w:t xml:space="preserve"> BS provisions, </w:t>
      </w:r>
      <w:r w:rsidR="00A730EA" w:rsidRPr="00814F59">
        <w:rPr>
          <w:rFonts w:eastAsia="Calibri" w:cstheme="minorHAnsi"/>
        </w:rPr>
        <w:t>and (</w:t>
      </w:r>
      <w:r w:rsidR="00FB5839" w:rsidRPr="00814F59">
        <w:rPr>
          <w:rFonts w:eastAsia="Calibri" w:cstheme="minorHAnsi"/>
        </w:rPr>
        <w:t>3</w:t>
      </w:r>
      <w:r w:rsidR="00A730EA" w:rsidRPr="00814F59">
        <w:rPr>
          <w:rFonts w:eastAsia="Calibri" w:cstheme="minorHAnsi"/>
        </w:rPr>
        <w:t xml:space="preserve">) </w:t>
      </w:r>
      <w:r w:rsidR="00271D67" w:rsidRPr="00814F59">
        <w:rPr>
          <w:rFonts w:eastAsia="Calibri" w:cstheme="minorHAnsi"/>
        </w:rPr>
        <w:t xml:space="preserve">rights and obligations arising from the commercialization of the GH/ATK-based products, </w:t>
      </w:r>
      <w:r w:rsidR="00A730EA" w:rsidRPr="00814F59">
        <w:rPr>
          <w:rFonts w:eastAsia="Calibri" w:cstheme="minorHAnsi"/>
        </w:rPr>
        <w:t xml:space="preserve">including </w:t>
      </w:r>
      <w:r w:rsidR="00271D67" w:rsidRPr="00814F59">
        <w:rPr>
          <w:rFonts w:eastAsia="Calibri" w:cstheme="minorHAnsi"/>
        </w:rPr>
        <w:t>intellectual property rights</w:t>
      </w:r>
      <w:r w:rsidR="000F2080" w:rsidRPr="00814F59">
        <w:rPr>
          <w:rFonts w:eastAsia="Calibri" w:cstheme="minorHAnsi"/>
        </w:rPr>
        <w:t xml:space="preserve">. </w:t>
      </w:r>
      <w:r w:rsidR="00271D67" w:rsidRPr="00814F59">
        <w:rPr>
          <w:rFonts w:eastAsia="Calibri" w:cstheme="minorHAnsi"/>
        </w:rPr>
        <w:t xml:space="preserve">The PM defined that the BS could be monetary or non-monetary, including options for royalty payments, technology transfer, free licenses for </w:t>
      </w:r>
      <w:r w:rsidR="000F2080" w:rsidRPr="00814F59">
        <w:rPr>
          <w:rFonts w:eastAsia="Calibri" w:cstheme="minorHAnsi"/>
        </w:rPr>
        <w:t xml:space="preserve">the use of </w:t>
      </w:r>
      <w:r w:rsidR="00271D67" w:rsidRPr="00814F59">
        <w:rPr>
          <w:rFonts w:eastAsia="Calibri" w:cstheme="minorHAnsi"/>
        </w:rPr>
        <w:t>products or processes, and human resources capacity building initiatives.</w:t>
      </w:r>
    </w:p>
    <w:p w14:paraId="458B37C4" w14:textId="05D001B7" w:rsidR="00271D67" w:rsidRPr="00814F59" w:rsidRDefault="00271D67" w:rsidP="008636D2">
      <w:pPr>
        <w:rPr>
          <w:rFonts w:cstheme="minorHAnsi"/>
        </w:rPr>
      </w:pPr>
      <w:r w:rsidRPr="00814F59">
        <w:rPr>
          <w:rFonts w:eastAsia="Calibri" w:cstheme="minorHAnsi"/>
        </w:rPr>
        <w:t xml:space="preserve">The official data requested by LAI showed that between 2000 and 2015, the total number of signed MATs was 243 </w:t>
      </w:r>
      <w:r w:rsidR="000F2080" w:rsidRPr="00814F59">
        <w:rPr>
          <w:rFonts w:eastAsia="Calibri" w:cstheme="minorHAnsi"/>
        </w:rPr>
        <w:t>of which</w:t>
      </w:r>
      <w:r w:rsidRPr="00814F59">
        <w:rPr>
          <w:rFonts w:eastAsia="Calibri" w:cstheme="minorHAnsi"/>
        </w:rPr>
        <w:t xml:space="preserve"> 240 (99%) </w:t>
      </w:r>
      <w:r w:rsidR="000F2080" w:rsidRPr="00814F59">
        <w:rPr>
          <w:rFonts w:eastAsia="Calibri" w:cstheme="minorHAnsi"/>
        </w:rPr>
        <w:t xml:space="preserve">were </w:t>
      </w:r>
      <w:r w:rsidRPr="00814F59">
        <w:rPr>
          <w:rFonts w:eastAsia="Calibri" w:cstheme="minorHAnsi"/>
        </w:rPr>
        <w:t xml:space="preserve">signed between </w:t>
      </w:r>
      <w:r w:rsidR="000F2080" w:rsidRPr="00814F59">
        <w:rPr>
          <w:rFonts w:eastAsia="Calibri" w:cstheme="minorHAnsi"/>
        </w:rPr>
        <w:t>u</w:t>
      </w:r>
      <w:r w:rsidRPr="00814F59">
        <w:rPr>
          <w:rFonts w:eastAsia="Calibri" w:cstheme="minorHAnsi"/>
        </w:rPr>
        <w:t>ser</w:t>
      </w:r>
      <w:r w:rsidR="00A730EA" w:rsidRPr="00814F59">
        <w:rPr>
          <w:rFonts w:eastAsia="Calibri" w:cstheme="minorHAnsi"/>
        </w:rPr>
        <w:t>s</w:t>
      </w:r>
      <w:r w:rsidR="00AB62F9" w:rsidRPr="00814F59">
        <w:rPr>
          <w:rFonts w:eastAsia="Calibri" w:cstheme="minorHAnsi"/>
        </w:rPr>
        <w:t xml:space="preserve"> and </w:t>
      </w:r>
      <w:r w:rsidR="000F2080" w:rsidRPr="00814F59">
        <w:rPr>
          <w:rFonts w:eastAsia="Calibri" w:cstheme="minorHAnsi"/>
        </w:rPr>
        <w:t>p</w:t>
      </w:r>
      <w:r w:rsidRPr="00814F59">
        <w:rPr>
          <w:rFonts w:eastAsia="Calibri" w:cstheme="minorHAnsi"/>
        </w:rPr>
        <w:t xml:space="preserve">roviders and 3 (1%) between </w:t>
      </w:r>
      <w:r w:rsidR="00A730EA" w:rsidRPr="00814F59">
        <w:rPr>
          <w:rFonts w:eastAsia="Calibri" w:cstheme="minorHAnsi"/>
        </w:rPr>
        <w:t>users and the union</w:t>
      </w:r>
      <w:r w:rsidRPr="00814F59">
        <w:rPr>
          <w:rFonts w:eastAsia="Calibri" w:cstheme="minorHAnsi"/>
        </w:rPr>
        <w:t>. All 243 contracts were approved by the CGen, 18 (7%) of which were related to access to GH and ATK, and the remaining 225 (93%) were related only to access to GH. In addition to the MAT</w:t>
      </w:r>
      <w:r w:rsidR="000F2080" w:rsidRPr="00814F59">
        <w:rPr>
          <w:rFonts w:eastAsia="Calibri" w:cstheme="minorHAnsi"/>
        </w:rPr>
        <w:t xml:space="preserve"> agreement</w:t>
      </w:r>
      <w:r w:rsidRPr="00814F59">
        <w:rPr>
          <w:rFonts w:eastAsia="Calibri" w:cstheme="minorHAnsi"/>
        </w:rPr>
        <w:t>, there were 40 benefit sharing projects signed between users and providers that were approved by the CGen, but no value was</w:t>
      </w:r>
      <w:r w:rsidR="00FB5839" w:rsidRPr="00814F59">
        <w:rPr>
          <w:rFonts w:eastAsia="Calibri" w:cstheme="minorHAnsi"/>
        </w:rPr>
        <w:t xml:space="preserve"> provided in </w:t>
      </w:r>
      <w:r w:rsidR="00183D77" w:rsidRPr="00814F59">
        <w:rPr>
          <w:rFonts w:eastAsia="Calibri" w:cstheme="minorHAnsi"/>
        </w:rPr>
        <w:t xml:space="preserve">response to this specific </w:t>
      </w:r>
      <w:r w:rsidR="000F2080" w:rsidRPr="00814F59">
        <w:rPr>
          <w:rFonts w:eastAsia="Calibri" w:cstheme="minorHAnsi"/>
        </w:rPr>
        <w:t>LAI request</w:t>
      </w:r>
      <w:r w:rsidRPr="00814F59">
        <w:rPr>
          <w:rFonts w:eastAsia="Calibri" w:cstheme="minorHAnsi"/>
        </w:rPr>
        <w:t>.</w:t>
      </w:r>
    </w:p>
    <w:p w14:paraId="6AF8BAF9" w14:textId="77777777" w:rsidR="000A30F7" w:rsidRDefault="00271D67" w:rsidP="000A30F7">
      <w:pPr>
        <w:rPr>
          <w:rFonts w:eastAsia="Calibri" w:cstheme="minorHAnsi"/>
        </w:rPr>
      </w:pPr>
      <w:r w:rsidRPr="00814F59">
        <w:rPr>
          <w:rFonts w:eastAsia="Calibri" w:cstheme="minorHAnsi"/>
        </w:rPr>
        <w:lastRenderedPageBreak/>
        <w:t>The total amount of BS raised during the 15 years of PM 2,816/2001</w:t>
      </w:r>
      <w:r w:rsidR="00FB5839" w:rsidRPr="00814F59">
        <w:rPr>
          <w:rFonts w:eastAsia="Calibri" w:cstheme="minorHAnsi"/>
        </w:rPr>
        <w:t xml:space="preserve"> being in force</w:t>
      </w:r>
      <w:r w:rsidRPr="00814F59">
        <w:rPr>
          <w:rFonts w:eastAsia="Calibri" w:cstheme="minorHAnsi"/>
        </w:rPr>
        <w:t>, related to the 243 MATs</w:t>
      </w:r>
      <w:r w:rsidR="00FB5839" w:rsidRPr="00814F59">
        <w:rPr>
          <w:rFonts w:eastAsia="Calibri" w:cstheme="minorHAnsi"/>
        </w:rPr>
        <w:t>,</w:t>
      </w:r>
      <w:r w:rsidRPr="00814F59">
        <w:rPr>
          <w:rFonts w:eastAsia="Calibri" w:cstheme="minorHAnsi"/>
        </w:rPr>
        <w:t xml:space="preserve"> had </w:t>
      </w:r>
      <w:r w:rsidR="00183D77" w:rsidRPr="00814F59">
        <w:rPr>
          <w:rFonts w:eastAsia="Calibri" w:cstheme="minorHAnsi"/>
        </w:rPr>
        <w:t>a</w:t>
      </w:r>
      <w:r w:rsidRPr="00814F59">
        <w:rPr>
          <w:rFonts w:eastAsia="Calibri" w:cstheme="minorHAnsi"/>
        </w:rPr>
        <w:t xml:space="preserve"> nominal value of R$ 8,326,767.00. After monetary adjustment </w:t>
      </w:r>
      <w:r w:rsidR="00183D77" w:rsidRPr="00814F59">
        <w:rPr>
          <w:rFonts w:eastAsia="Calibri" w:cstheme="minorHAnsi"/>
        </w:rPr>
        <w:t xml:space="preserve">with the </w:t>
      </w:r>
      <w:r w:rsidRPr="00814F59">
        <w:rPr>
          <w:rFonts w:eastAsia="Calibri" w:cstheme="minorHAnsi"/>
        </w:rPr>
        <w:t>IPCA-E index</w:t>
      </w:r>
      <w:r w:rsidR="00183D77" w:rsidRPr="00814F59">
        <w:rPr>
          <w:rFonts w:eastAsia="Calibri" w:cstheme="minorHAnsi"/>
        </w:rPr>
        <w:t>,</w:t>
      </w:r>
      <w:r w:rsidRPr="00814F59">
        <w:rPr>
          <w:rFonts w:eastAsia="Calibri" w:cstheme="minorHAnsi"/>
        </w:rPr>
        <w:t xml:space="preserve"> th</w:t>
      </w:r>
      <w:r w:rsidR="00AD62EC" w:rsidRPr="00814F59">
        <w:rPr>
          <w:rFonts w:eastAsia="Calibri" w:cstheme="minorHAnsi"/>
        </w:rPr>
        <w:t>at</w:t>
      </w:r>
      <w:r w:rsidRPr="00814F59">
        <w:rPr>
          <w:rFonts w:eastAsia="Calibri" w:cstheme="minorHAnsi"/>
        </w:rPr>
        <w:t xml:space="preserve"> value </w:t>
      </w:r>
      <w:r w:rsidR="00FB5839" w:rsidRPr="00814F59">
        <w:rPr>
          <w:rFonts w:eastAsia="Calibri" w:cstheme="minorHAnsi"/>
        </w:rPr>
        <w:t>i</w:t>
      </w:r>
      <w:r w:rsidRPr="00814F59">
        <w:rPr>
          <w:rFonts w:eastAsia="Calibri" w:cstheme="minorHAnsi"/>
        </w:rPr>
        <w:t>s equivalent to R$</w:t>
      </w:r>
      <w:r w:rsidR="00333F80" w:rsidRPr="00814F59">
        <w:rPr>
          <w:rFonts w:eastAsia="Calibri" w:cstheme="minorHAnsi"/>
        </w:rPr>
        <w:t xml:space="preserve"> </w:t>
      </w:r>
      <w:r w:rsidRPr="00814F59">
        <w:rPr>
          <w:rFonts w:eastAsia="Calibri" w:cstheme="minorHAnsi"/>
        </w:rPr>
        <w:t>12</w:t>
      </w:r>
      <w:r w:rsidR="00FB5839" w:rsidRPr="00814F59">
        <w:rPr>
          <w:rFonts w:eastAsia="Calibri" w:cstheme="minorHAnsi"/>
        </w:rPr>
        <w:t>,</w:t>
      </w:r>
      <w:r w:rsidRPr="00814F59">
        <w:rPr>
          <w:rFonts w:eastAsia="Calibri" w:cstheme="minorHAnsi"/>
        </w:rPr>
        <w:t>160</w:t>
      </w:r>
      <w:r w:rsidR="00333F80" w:rsidRPr="00814F59">
        <w:rPr>
          <w:rFonts w:eastAsia="Calibri" w:cstheme="minorHAnsi"/>
        </w:rPr>
        <w:t>,</w:t>
      </w:r>
      <w:r w:rsidRPr="00814F59">
        <w:rPr>
          <w:rFonts w:eastAsia="Calibri" w:cstheme="minorHAnsi"/>
        </w:rPr>
        <w:t>251</w:t>
      </w:r>
      <w:r w:rsidR="00FB5839" w:rsidRPr="00814F59">
        <w:rPr>
          <w:rFonts w:eastAsia="Calibri" w:cstheme="minorHAnsi"/>
        </w:rPr>
        <w:t>.</w:t>
      </w:r>
      <w:r w:rsidRPr="00814F59">
        <w:rPr>
          <w:rFonts w:eastAsia="Calibri" w:cstheme="minorHAnsi"/>
        </w:rPr>
        <w:t>49</w:t>
      </w:r>
      <w:r w:rsidR="00FB5839" w:rsidRPr="00814F59">
        <w:rPr>
          <w:rFonts w:eastAsia="Calibri" w:cstheme="minorHAnsi"/>
        </w:rPr>
        <w:t>.</w:t>
      </w:r>
      <w:r w:rsidR="00F66189" w:rsidRPr="00814F59">
        <w:rPr>
          <w:rFonts w:eastAsia="Calibri" w:cstheme="minorHAnsi"/>
        </w:rPr>
        <w:t xml:space="preserve"> From the total benefit</w:t>
      </w:r>
      <w:r w:rsidR="00AB62F9" w:rsidRPr="00814F59">
        <w:rPr>
          <w:rFonts w:eastAsia="Calibri" w:cstheme="minorHAnsi"/>
        </w:rPr>
        <w:t>s</w:t>
      </w:r>
      <w:r w:rsidR="00F66189" w:rsidRPr="00814F59">
        <w:rPr>
          <w:rFonts w:eastAsia="Calibri" w:cstheme="minorHAnsi"/>
        </w:rPr>
        <w:t xml:space="preserve">, </w:t>
      </w:r>
      <w:r w:rsidR="0068417F" w:rsidRPr="00814F59">
        <w:rPr>
          <w:rFonts w:eastAsia="Calibri" w:cstheme="minorHAnsi"/>
        </w:rPr>
        <w:t>48%</w:t>
      </w:r>
      <w:r w:rsidR="00F66189" w:rsidRPr="00814F59">
        <w:rPr>
          <w:rFonts w:eastAsia="Calibri" w:cstheme="minorHAnsi"/>
        </w:rPr>
        <w:t xml:space="preserve"> </w:t>
      </w:r>
      <w:r w:rsidR="00FE0832" w:rsidRPr="00814F59">
        <w:rPr>
          <w:rFonts w:eastAsia="Calibri" w:cstheme="minorHAnsi"/>
        </w:rPr>
        <w:t>came from only</w:t>
      </w:r>
      <w:r w:rsidR="00F66189" w:rsidRPr="00814F59">
        <w:rPr>
          <w:rFonts w:eastAsia="Calibri" w:cstheme="minorHAnsi"/>
        </w:rPr>
        <w:t xml:space="preserve"> </w:t>
      </w:r>
      <w:r w:rsidR="00FE0832" w:rsidRPr="00814F59">
        <w:rPr>
          <w:rFonts w:eastAsia="Calibri" w:cstheme="minorHAnsi"/>
        </w:rPr>
        <w:t>3 MATs (1%)</w:t>
      </w:r>
      <w:r w:rsidR="000066FC" w:rsidRPr="00814F59">
        <w:rPr>
          <w:rFonts w:eastAsia="Calibri" w:cstheme="minorHAnsi"/>
        </w:rPr>
        <w:t>,</w:t>
      </w:r>
      <w:r w:rsidR="00FE0832" w:rsidRPr="00814F59">
        <w:rPr>
          <w:rFonts w:eastAsia="Calibri" w:cstheme="minorHAnsi"/>
        </w:rPr>
        <w:t xml:space="preserve"> and were shared with</w:t>
      </w:r>
      <w:r w:rsidR="00F66189" w:rsidRPr="00814F59">
        <w:rPr>
          <w:rFonts w:eastAsia="Calibri" w:cstheme="minorHAnsi"/>
        </w:rPr>
        <w:t xml:space="preserve"> traditional communities from the Extractive Reserve Middle Juruá</w:t>
      </w:r>
      <w:r w:rsidR="00FE0832" w:rsidRPr="00814F59">
        <w:rPr>
          <w:rFonts w:eastAsia="Calibri" w:cstheme="minorHAnsi"/>
        </w:rPr>
        <w:t xml:space="preserve"> in the Brazilian Amazon region. The other 52% (4.3 million reais) </w:t>
      </w:r>
      <w:r w:rsidR="00AB62F9" w:rsidRPr="00814F59">
        <w:rPr>
          <w:rFonts w:eastAsia="Calibri" w:cstheme="minorHAnsi"/>
        </w:rPr>
        <w:t xml:space="preserve">coming </w:t>
      </w:r>
      <w:r w:rsidR="00FE0832" w:rsidRPr="00814F59">
        <w:rPr>
          <w:rFonts w:eastAsia="Calibri" w:cstheme="minorHAnsi"/>
        </w:rPr>
        <w:t>from 240 MATs were shared</w:t>
      </w:r>
      <w:r w:rsidR="00AB62F9" w:rsidRPr="00814F59">
        <w:rPr>
          <w:rFonts w:eastAsia="Calibri" w:cstheme="minorHAnsi"/>
        </w:rPr>
        <w:t>,</w:t>
      </w:r>
      <w:r w:rsidR="00FE0832" w:rsidRPr="00814F59">
        <w:rPr>
          <w:rFonts w:eastAsia="Calibri" w:cstheme="minorHAnsi"/>
        </w:rPr>
        <w:t xml:space="preserve"> but the Ministry of the Environment did not provide the community’s </w:t>
      </w:r>
      <w:r w:rsidR="004D1A1E" w:rsidRPr="00814F59">
        <w:rPr>
          <w:rFonts w:eastAsia="Calibri" w:cstheme="minorHAnsi"/>
        </w:rPr>
        <w:t xml:space="preserve">identification names </w:t>
      </w:r>
      <w:r w:rsidR="00FE0832" w:rsidRPr="00814F59">
        <w:rPr>
          <w:rFonts w:eastAsia="Calibri" w:cstheme="minorHAnsi"/>
        </w:rPr>
        <w:t>nor the overall results achieved</w:t>
      </w:r>
      <w:r w:rsidR="007C0CAE" w:rsidRPr="00814F59">
        <w:rPr>
          <w:rFonts w:eastAsia="Calibri" w:cstheme="minorHAnsi"/>
        </w:rPr>
        <w:t xml:space="preserve"> with these funds. </w:t>
      </w:r>
      <w:r w:rsidR="00FE0832" w:rsidRPr="00814F59">
        <w:rPr>
          <w:rFonts w:eastAsia="Calibri" w:cstheme="minorHAnsi"/>
        </w:rPr>
        <w:t xml:space="preserve"> </w:t>
      </w:r>
    </w:p>
    <w:p w14:paraId="452A4054" w14:textId="1A633519" w:rsidR="00271D67" w:rsidRPr="006C4CE2" w:rsidRDefault="00271D67" w:rsidP="000A30F7">
      <w:pPr>
        <w:rPr>
          <w:rFonts w:ascii="Calibri" w:eastAsia="Calibri" w:hAnsi="Calibri" w:cs="Calibri"/>
        </w:rPr>
      </w:pPr>
      <w:r w:rsidRPr="006C4CE2">
        <w:rPr>
          <w:rFonts w:ascii="Calibri" w:eastAsia="Calibri" w:hAnsi="Calibri" w:cs="Calibri"/>
        </w:rPr>
        <w:t xml:space="preserve"> </w:t>
      </w:r>
    </w:p>
    <w:p w14:paraId="00F2B6F4" w14:textId="47966E9B" w:rsidR="00271D67" w:rsidRPr="00CC26C1" w:rsidRDefault="00271D67" w:rsidP="00C016D0">
      <w:pPr>
        <w:pStyle w:val="Heading2"/>
        <w:numPr>
          <w:ilvl w:val="1"/>
          <w:numId w:val="3"/>
        </w:numPr>
        <w:rPr>
          <w:color w:val="0070C0"/>
        </w:rPr>
      </w:pPr>
      <w:r w:rsidRPr="00CC26C1">
        <w:rPr>
          <w:color w:val="0070C0"/>
        </w:rPr>
        <w:t xml:space="preserve">Costs of the </w:t>
      </w:r>
      <w:r w:rsidR="00162F06">
        <w:rPr>
          <w:color w:val="0070C0"/>
        </w:rPr>
        <w:t xml:space="preserve">Brazilian </w:t>
      </w:r>
      <w:r w:rsidRPr="00CC26C1">
        <w:rPr>
          <w:color w:val="0070C0"/>
        </w:rPr>
        <w:t>ABS policy</w:t>
      </w:r>
      <w:r w:rsidR="00162F06">
        <w:rPr>
          <w:color w:val="0070C0"/>
        </w:rPr>
        <w:t xml:space="preserve"> under </w:t>
      </w:r>
      <w:r w:rsidR="00162F06" w:rsidRPr="00CC26C1">
        <w:rPr>
          <w:color w:val="0070C0"/>
        </w:rPr>
        <w:t>Law 13,123/2015</w:t>
      </w:r>
    </w:p>
    <w:p w14:paraId="459336BF" w14:textId="77777777" w:rsidR="00DF76AA" w:rsidRDefault="00DF76AA" w:rsidP="007C5D43">
      <w:pPr>
        <w:spacing w:line="257" w:lineRule="auto"/>
      </w:pPr>
    </w:p>
    <w:p w14:paraId="35EE62D6" w14:textId="6329D9D1" w:rsidR="00271D67" w:rsidRPr="000A30F7" w:rsidRDefault="007C5D43" w:rsidP="000A30F7">
      <w:pPr>
        <w:spacing w:line="257" w:lineRule="auto"/>
        <w:rPr>
          <w:rFonts w:eastAsia="Calibri" w:cstheme="minorHAnsi"/>
        </w:rPr>
      </w:pPr>
      <w:r w:rsidRPr="000A30F7">
        <w:rPr>
          <w:rFonts w:eastAsia="Calibri" w:cstheme="minorHAnsi"/>
        </w:rPr>
        <w:t>The cost</w:t>
      </w:r>
      <w:r w:rsidR="007D04D5" w:rsidRPr="000A30F7">
        <w:rPr>
          <w:rFonts w:eastAsia="Calibri" w:cstheme="minorHAnsi"/>
        </w:rPr>
        <w:t>s</w:t>
      </w:r>
      <w:r w:rsidR="00F452D8" w:rsidRPr="000A30F7">
        <w:rPr>
          <w:rFonts w:eastAsia="Calibri" w:cstheme="minorHAnsi"/>
        </w:rPr>
        <w:t xml:space="preserve"> </w:t>
      </w:r>
      <w:r w:rsidRPr="000A30F7">
        <w:rPr>
          <w:rFonts w:eastAsia="Calibri" w:cstheme="minorHAnsi"/>
        </w:rPr>
        <w:t xml:space="preserve">assessed in this study </w:t>
      </w:r>
      <w:r w:rsidR="007D04D5" w:rsidRPr="000A30F7">
        <w:rPr>
          <w:rFonts w:eastAsia="Calibri" w:cstheme="minorHAnsi"/>
        </w:rPr>
        <w:t xml:space="preserve">are </w:t>
      </w:r>
      <w:r w:rsidR="00D6669B" w:rsidRPr="000A30F7">
        <w:rPr>
          <w:rFonts w:eastAsia="Calibri" w:cstheme="minorHAnsi"/>
        </w:rPr>
        <w:t xml:space="preserve">explained </w:t>
      </w:r>
      <w:r w:rsidR="007D04D5" w:rsidRPr="000A30F7">
        <w:rPr>
          <w:rFonts w:eastAsia="Calibri" w:cstheme="minorHAnsi"/>
        </w:rPr>
        <w:t>in se</w:t>
      </w:r>
      <w:r w:rsidR="000A30F7" w:rsidRPr="000A30F7">
        <w:rPr>
          <w:rFonts w:eastAsia="Calibri" w:cstheme="minorHAnsi"/>
        </w:rPr>
        <w:t>ction</w:t>
      </w:r>
      <w:r w:rsidR="007D04D5" w:rsidRPr="000A30F7">
        <w:rPr>
          <w:rFonts w:eastAsia="Calibri" w:cstheme="minorHAnsi"/>
        </w:rPr>
        <w:t xml:space="preserve"> 2.2</w:t>
      </w:r>
      <w:r w:rsidRPr="000A30F7">
        <w:rPr>
          <w:rFonts w:eastAsia="Calibri" w:cstheme="minorHAnsi"/>
        </w:rPr>
        <w:t xml:space="preserve">. </w:t>
      </w:r>
      <w:bookmarkStart w:id="6" w:name="_Int_y746c7hr"/>
      <w:r w:rsidR="00271D67" w:rsidRPr="000A30F7">
        <w:rPr>
          <w:rFonts w:eastAsia="Calibri" w:cstheme="minorHAnsi"/>
        </w:rPr>
        <w:t>Table II</w:t>
      </w:r>
      <w:bookmarkEnd w:id="6"/>
      <w:r w:rsidR="00271D67" w:rsidRPr="000A30F7">
        <w:rPr>
          <w:rFonts w:eastAsia="Calibri" w:cstheme="minorHAnsi"/>
        </w:rPr>
        <w:t xml:space="preserve"> illustrates two sets of cost</w:t>
      </w:r>
      <w:r w:rsidR="00FB5839" w:rsidRPr="000A30F7">
        <w:rPr>
          <w:rFonts w:eastAsia="Calibri" w:cstheme="minorHAnsi"/>
        </w:rPr>
        <w:t>s incurred</w:t>
      </w:r>
      <w:r w:rsidR="00271D67" w:rsidRPr="000A30F7">
        <w:rPr>
          <w:rFonts w:eastAsia="Calibri" w:cstheme="minorHAnsi"/>
        </w:rPr>
        <w:t xml:space="preserve"> </w:t>
      </w:r>
      <w:r w:rsidR="00FB5839" w:rsidRPr="000A30F7">
        <w:rPr>
          <w:rFonts w:eastAsia="Calibri" w:cstheme="minorHAnsi"/>
        </w:rPr>
        <w:t xml:space="preserve">by the Brazilian government </w:t>
      </w:r>
      <w:r w:rsidR="00271D67" w:rsidRPr="000A30F7">
        <w:rPr>
          <w:rFonts w:eastAsia="Calibri" w:cstheme="minorHAnsi"/>
        </w:rPr>
        <w:t>from January 2016 to August 2022</w:t>
      </w:r>
      <w:r w:rsidR="00FB5839" w:rsidRPr="000A30F7">
        <w:rPr>
          <w:rFonts w:eastAsia="Calibri" w:cstheme="minorHAnsi"/>
        </w:rPr>
        <w:t>:</w:t>
      </w:r>
      <w:r w:rsidR="00271D67" w:rsidRPr="000A30F7">
        <w:rPr>
          <w:rFonts w:eastAsia="Calibri" w:cstheme="minorHAnsi"/>
        </w:rPr>
        <w:t xml:space="preserve"> (1) operational costs and (2) CBD annual contribution</w:t>
      </w:r>
      <w:r w:rsidR="00FB5839" w:rsidRPr="000A30F7">
        <w:rPr>
          <w:rFonts w:eastAsia="Calibri" w:cstheme="minorHAnsi"/>
        </w:rPr>
        <w:t>s</w:t>
      </w:r>
      <w:r w:rsidR="00271D67" w:rsidRPr="000A30F7">
        <w:rPr>
          <w:rFonts w:eastAsia="Calibri" w:cstheme="minorHAnsi"/>
        </w:rPr>
        <w:t>. The IPCA-E index</w:t>
      </w:r>
      <w:r w:rsidR="00FB5839" w:rsidRPr="000A30F7">
        <w:rPr>
          <w:rFonts w:eastAsia="Calibri" w:cstheme="minorHAnsi"/>
        </w:rPr>
        <w:t xml:space="preserve"> was used</w:t>
      </w:r>
      <w:r w:rsidR="00271D67" w:rsidRPr="000A30F7">
        <w:rPr>
          <w:rFonts w:eastAsia="Calibri" w:cstheme="minorHAnsi"/>
        </w:rPr>
        <w:t xml:space="preserve">, to </w:t>
      </w:r>
      <w:r w:rsidR="00FB5839" w:rsidRPr="000A30F7">
        <w:rPr>
          <w:rFonts w:eastAsia="Calibri" w:cstheme="minorHAnsi"/>
        </w:rPr>
        <w:t>adjust the</w:t>
      </w:r>
      <w:r w:rsidR="00271D67" w:rsidRPr="000A30F7">
        <w:rPr>
          <w:rFonts w:eastAsia="Calibri" w:cstheme="minorHAnsi"/>
        </w:rPr>
        <w:t xml:space="preserve"> costs </w:t>
      </w:r>
      <w:r w:rsidR="00FB5839" w:rsidRPr="000A30F7">
        <w:rPr>
          <w:rFonts w:eastAsia="Calibri" w:cstheme="minorHAnsi"/>
        </w:rPr>
        <w:t>to the value in</w:t>
      </w:r>
      <w:r w:rsidR="00271D67" w:rsidRPr="000A30F7">
        <w:rPr>
          <w:rFonts w:eastAsia="Calibri" w:cstheme="minorHAnsi"/>
        </w:rPr>
        <w:t xml:space="preserve"> August 2022. The US dollar to Brazilian real</w:t>
      </w:r>
      <w:r w:rsidR="00C976BF" w:rsidRPr="000A30F7">
        <w:rPr>
          <w:rFonts w:eastAsia="Calibri" w:cstheme="minorHAnsi"/>
        </w:rPr>
        <w:t xml:space="preserve">s </w:t>
      </w:r>
      <w:r w:rsidR="00271D67" w:rsidRPr="000A30F7">
        <w:rPr>
          <w:rFonts w:eastAsia="Calibri" w:cstheme="minorHAnsi"/>
        </w:rPr>
        <w:t>conversion rate was 5.20 BR/USD.</w:t>
      </w:r>
    </w:p>
    <w:p w14:paraId="646DCE27" w14:textId="26839E1C" w:rsidR="00271D67" w:rsidRPr="000A30F7" w:rsidRDefault="00271D67" w:rsidP="001F2559">
      <w:pPr>
        <w:spacing w:line="257" w:lineRule="auto"/>
        <w:rPr>
          <w:rFonts w:cstheme="minorHAnsi"/>
        </w:rPr>
      </w:pPr>
      <w:r w:rsidRPr="000A30F7">
        <w:rPr>
          <w:rFonts w:eastAsia="Calibri" w:cstheme="minorHAnsi"/>
          <w:b/>
          <w:bCs/>
          <w:i/>
          <w:iCs/>
        </w:rPr>
        <w:t>Table II.</w:t>
      </w:r>
      <w:r w:rsidRPr="000A30F7">
        <w:rPr>
          <w:rFonts w:eastAsia="Calibri" w:cstheme="minorHAnsi"/>
          <w:i/>
          <w:iCs/>
        </w:rPr>
        <w:t xml:space="preserve"> Compilation of five selected costs related to the Brazilian ABS operation and CBD annual contributions</w:t>
      </w:r>
      <w:r w:rsidR="00D72917" w:rsidRPr="000A30F7">
        <w:rPr>
          <w:rFonts w:eastAsia="Calibri" w:cstheme="minorHAnsi"/>
          <w:i/>
          <w:iCs/>
        </w:rPr>
        <w:t>,</w:t>
      </w:r>
      <w:r w:rsidR="001D6D2D" w:rsidRPr="000A30F7">
        <w:rPr>
          <w:rFonts w:eastAsia="Calibri" w:cstheme="minorHAnsi"/>
          <w:i/>
          <w:iCs/>
        </w:rPr>
        <w:t xml:space="preserve"> </w:t>
      </w:r>
      <w:r w:rsidRPr="000A30F7">
        <w:rPr>
          <w:rFonts w:eastAsia="Calibri" w:cstheme="minorHAnsi"/>
          <w:i/>
          <w:iCs/>
        </w:rPr>
        <w:t xml:space="preserve">from January 2016 to August 2022. </w:t>
      </w:r>
      <w:r w:rsidR="00454AEF" w:rsidRPr="000A30F7">
        <w:rPr>
          <w:rFonts w:eastAsia="Calibri" w:cstheme="minorHAnsi"/>
          <w:i/>
          <w:iCs/>
        </w:rPr>
        <w:t xml:space="preserve">Nagoya Protocol (NP) contribution is added in year 2022. </w:t>
      </w:r>
      <w:r w:rsidR="00E718C1" w:rsidRPr="000A30F7">
        <w:rPr>
          <w:rFonts w:eastAsia="Calibri" w:cstheme="minorHAnsi"/>
          <w:i/>
          <w:iCs/>
        </w:rPr>
        <w:t xml:space="preserve">Values adjusted </w:t>
      </w:r>
      <w:r w:rsidR="00A22A1E" w:rsidRPr="000A30F7">
        <w:rPr>
          <w:rFonts w:eastAsia="Calibri" w:cstheme="minorHAnsi"/>
          <w:i/>
          <w:iCs/>
        </w:rPr>
        <w:t xml:space="preserve">to August 2022 </w:t>
      </w:r>
      <w:r w:rsidRPr="000A30F7">
        <w:rPr>
          <w:rFonts w:eastAsia="Calibri" w:cstheme="minorHAnsi"/>
          <w:i/>
          <w:iCs/>
        </w:rPr>
        <w:t>by the IPCA-E</w:t>
      </w:r>
      <w:r w:rsidR="00F107F4" w:rsidRPr="000A30F7">
        <w:rPr>
          <w:rFonts w:eastAsia="Calibri" w:cstheme="minorHAnsi"/>
          <w:i/>
          <w:iCs/>
        </w:rPr>
        <w:t xml:space="preserve"> index</w:t>
      </w:r>
      <w:r w:rsidR="00FB5839" w:rsidRPr="000A30F7">
        <w:rPr>
          <w:rFonts w:eastAsia="Calibri" w:cstheme="minorHAnsi"/>
          <w:i/>
          <w:iCs/>
        </w:rPr>
        <w:t>.</w:t>
      </w:r>
      <w:r w:rsidRPr="000A30F7">
        <w:rPr>
          <w:rFonts w:eastAsia="Calibri" w:cstheme="minorHAnsi"/>
          <w:i/>
          <w:iCs/>
        </w:rPr>
        <w:t xml:space="preserve"> </w:t>
      </w:r>
    </w:p>
    <w:tbl>
      <w:tblPr>
        <w:tblStyle w:val="TableGrid"/>
        <w:tblW w:w="8789" w:type="dxa"/>
        <w:tblLayout w:type="fixed"/>
        <w:tblLook w:val="0660" w:firstRow="1" w:lastRow="1" w:firstColumn="0" w:lastColumn="0" w:noHBand="1" w:noVBand="1"/>
      </w:tblPr>
      <w:tblGrid>
        <w:gridCol w:w="3405"/>
        <w:gridCol w:w="2195"/>
        <w:gridCol w:w="3189"/>
      </w:tblGrid>
      <w:tr w:rsidR="007E1FD8" w:rsidRPr="007E1FD8" w14:paraId="4561BF41" w14:textId="77777777" w:rsidTr="007B2BD4">
        <w:tc>
          <w:tcPr>
            <w:tcW w:w="34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24F176E0" w14:textId="77777777" w:rsidR="007E1FD8" w:rsidRDefault="00271D67" w:rsidP="007E1FD8">
            <w:pPr>
              <w:jc w:val="center"/>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 xml:space="preserve">Operation </w:t>
            </w:r>
          </w:p>
          <w:p w14:paraId="638A914C" w14:textId="25E38852" w:rsidR="00271D67" w:rsidRPr="007E1FD8" w:rsidRDefault="00271D67" w:rsidP="007E1FD8">
            <w:pPr>
              <w:jc w:val="center"/>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Cost</w:t>
            </w:r>
          </w:p>
        </w:tc>
        <w:tc>
          <w:tcPr>
            <w:tcW w:w="21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55F4F65C" w14:textId="77777777" w:rsidR="00271D67" w:rsidRPr="007E1FD8" w:rsidRDefault="00271D67" w:rsidP="749DB7B2">
            <w:pPr>
              <w:jc w:val="center"/>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 xml:space="preserve">Nominal </w:t>
            </w:r>
          </w:p>
          <w:p w14:paraId="319C1AE3" w14:textId="77777777" w:rsidR="00271D67" w:rsidRPr="007E1FD8" w:rsidRDefault="00271D67" w:rsidP="749DB7B2">
            <w:pPr>
              <w:jc w:val="center"/>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Value</w:t>
            </w:r>
          </w:p>
        </w:tc>
        <w:tc>
          <w:tcPr>
            <w:tcW w:w="318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4CC04CC8" w14:textId="77777777" w:rsidR="00271D67" w:rsidRPr="007E1FD8" w:rsidRDefault="00271D67" w:rsidP="006465B3">
            <w:pPr>
              <w:jc w:val="right"/>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Adjusted Value by</w:t>
            </w:r>
          </w:p>
          <w:p w14:paraId="084E7817" w14:textId="5DB0392F" w:rsidR="00271D67" w:rsidRPr="007E1FD8" w:rsidRDefault="00271D67" w:rsidP="006465B3">
            <w:pPr>
              <w:jc w:val="right"/>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IPCA-E index (Aug/2022)</w:t>
            </w:r>
          </w:p>
        </w:tc>
      </w:tr>
      <w:tr w:rsidR="00271D67" w:rsidRPr="006C4CE2" w14:paraId="7647B178" w14:textId="77777777" w:rsidTr="007B2BD4">
        <w:tc>
          <w:tcPr>
            <w:tcW w:w="3405" w:type="dxa"/>
            <w:tcBorders>
              <w:top w:val="single" w:sz="18" w:space="0" w:color="FFFFFF" w:themeColor="background1"/>
              <w:left w:val="nil"/>
              <w:bottom w:val="single" w:sz="2" w:space="0" w:color="0070C0"/>
              <w:right w:val="nil"/>
            </w:tcBorders>
          </w:tcPr>
          <w:p w14:paraId="5BA0F64A" w14:textId="5C58C465"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Genetic Heritage Department</w:t>
            </w:r>
          </w:p>
          <w:p w14:paraId="517FA09F" w14:textId="0A5D883D"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Human Resource Remuneration</w:t>
            </w:r>
          </w:p>
        </w:tc>
        <w:tc>
          <w:tcPr>
            <w:tcW w:w="2195" w:type="dxa"/>
            <w:tcBorders>
              <w:top w:val="single" w:sz="18" w:space="0" w:color="FFFFFF" w:themeColor="background1"/>
              <w:left w:val="nil"/>
              <w:bottom w:val="single" w:sz="2" w:space="0" w:color="0070C0"/>
              <w:right w:val="nil"/>
            </w:tcBorders>
          </w:tcPr>
          <w:p w14:paraId="2841C4E9" w14:textId="76665178" w:rsidR="00271D67" w:rsidRPr="00FF194A" w:rsidRDefault="00271D67" w:rsidP="749DB7B2">
            <w:pPr>
              <w:jc w:val="right"/>
              <w:rPr>
                <w:rFonts w:ascii="Calibri" w:eastAsia="Calibri" w:hAnsi="Calibri" w:cs="Calibri"/>
                <w:sz w:val="20"/>
                <w:szCs w:val="20"/>
              </w:rPr>
            </w:pPr>
            <w:r w:rsidRPr="00FF194A">
              <w:rPr>
                <w:rFonts w:ascii="Calibri" w:eastAsia="Calibri" w:hAnsi="Calibri" w:cs="Calibri"/>
                <w:sz w:val="20"/>
                <w:szCs w:val="20"/>
              </w:rPr>
              <w:t xml:space="preserve"> R$ </w:t>
            </w:r>
            <w:r w:rsidRPr="006465B3">
              <w:rPr>
                <w:rFonts w:ascii="Calibri" w:eastAsia="Calibri" w:hAnsi="Calibri" w:cs="Calibri"/>
                <w:sz w:val="20"/>
                <w:szCs w:val="20"/>
              </w:rPr>
              <w:t>18</w:t>
            </w:r>
            <w:r w:rsidR="004B0CB4" w:rsidRPr="006465B3">
              <w:rPr>
                <w:rFonts w:ascii="Calibri" w:eastAsia="Calibri" w:hAnsi="Calibri" w:cs="Calibri"/>
                <w:sz w:val="20"/>
                <w:szCs w:val="20"/>
              </w:rPr>
              <w:t>,</w:t>
            </w:r>
            <w:r w:rsidRPr="006465B3">
              <w:rPr>
                <w:rFonts w:ascii="Calibri" w:eastAsia="Calibri" w:hAnsi="Calibri" w:cs="Calibri"/>
                <w:sz w:val="20"/>
                <w:szCs w:val="20"/>
              </w:rPr>
              <w:t>307</w:t>
            </w:r>
            <w:r w:rsidR="004B0CB4" w:rsidRPr="006465B3">
              <w:rPr>
                <w:rFonts w:ascii="Calibri" w:eastAsia="Calibri" w:hAnsi="Calibri" w:cs="Calibri"/>
                <w:sz w:val="20"/>
                <w:szCs w:val="20"/>
              </w:rPr>
              <w:t>,</w:t>
            </w:r>
            <w:r w:rsidRPr="006465B3">
              <w:rPr>
                <w:rFonts w:ascii="Calibri" w:eastAsia="Calibri" w:hAnsi="Calibri" w:cs="Calibri"/>
                <w:sz w:val="20"/>
                <w:szCs w:val="20"/>
              </w:rPr>
              <w:t>084</w:t>
            </w:r>
            <w:r w:rsidR="004B0CB4" w:rsidRPr="006465B3">
              <w:rPr>
                <w:rFonts w:ascii="Calibri" w:eastAsia="Calibri" w:hAnsi="Calibri" w:cs="Calibri"/>
                <w:sz w:val="20"/>
                <w:szCs w:val="20"/>
              </w:rPr>
              <w:t>.</w:t>
            </w:r>
            <w:r w:rsidRPr="006465B3">
              <w:rPr>
                <w:rFonts w:ascii="Calibri" w:eastAsia="Calibri" w:hAnsi="Calibri" w:cs="Calibri"/>
                <w:sz w:val="20"/>
                <w:szCs w:val="20"/>
              </w:rPr>
              <w:t>67</w:t>
            </w:r>
          </w:p>
        </w:tc>
        <w:tc>
          <w:tcPr>
            <w:tcW w:w="3189" w:type="dxa"/>
            <w:tcBorders>
              <w:top w:val="single" w:sz="18" w:space="0" w:color="FFFFFF" w:themeColor="background1"/>
              <w:left w:val="nil"/>
              <w:bottom w:val="single" w:sz="2" w:space="0" w:color="0070C0"/>
              <w:right w:val="nil"/>
            </w:tcBorders>
          </w:tcPr>
          <w:p w14:paraId="7E2BED9E" w14:textId="7A5BEB27" w:rsidR="00271D67" w:rsidRPr="00FF194A" w:rsidRDefault="00271D67" w:rsidP="749DB7B2">
            <w:pPr>
              <w:jc w:val="right"/>
              <w:rPr>
                <w:rFonts w:ascii="Calibri" w:eastAsia="Calibri" w:hAnsi="Calibri" w:cs="Calibri"/>
                <w:b/>
                <w:bCs/>
                <w:sz w:val="20"/>
                <w:szCs w:val="20"/>
              </w:rPr>
            </w:pPr>
            <w:r w:rsidRPr="006465B3">
              <w:rPr>
                <w:rFonts w:ascii="Calibri" w:eastAsia="Calibri" w:hAnsi="Calibri" w:cs="Calibri"/>
                <w:b/>
                <w:bCs/>
                <w:sz w:val="20"/>
                <w:szCs w:val="20"/>
              </w:rPr>
              <w:t>R$ 21</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786</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644</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74</w:t>
            </w:r>
          </w:p>
        </w:tc>
      </w:tr>
      <w:tr w:rsidR="00271D67" w:rsidRPr="006C4CE2" w14:paraId="2A62DBE0" w14:textId="77777777" w:rsidTr="007B2BD4">
        <w:tc>
          <w:tcPr>
            <w:tcW w:w="3405" w:type="dxa"/>
            <w:tcBorders>
              <w:top w:val="single" w:sz="2" w:space="0" w:color="0070C0"/>
              <w:left w:val="nil"/>
              <w:bottom w:val="single" w:sz="2" w:space="0" w:color="0070C0"/>
              <w:right w:val="nil"/>
            </w:tcBorders>
          </w:tcPr>
          <w:p w14:paraId="3770382A" w14:textId="77777777"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Genetic Heritage Department</w:t>
            </w:r>
          </w:p>
          <w:p w14:paraId="6DE35D30" w14:textId="58186A6C"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 xml:space="preserve">Travel </w:t>
            </w:r>
            <w:r w:rsidR="007C0CAE">
              <w:rPr>
                <w:rFonts w:ascii="Calibri" w:eastAsia="Calibri" w:hAnsi="Calibri" w:cs="Calibri"/>
                <w:sz w:val="20"/>
                <w:szCs w:val="20"/>
              </w:rPr>
              <w:t xml:space="preserve">+ Meeting </w:t>
            </w:r>
            <w:r w:rsidRPr="006C4CE2">
              <w:rPr>
                <w:rFonts w:ascii="Calibri" w:eastAsia="Calibri" w:hAnsi="Calibri" w:cs="Calibri"/>
                <w:sz w:val="20"/>
                <w:szCs w:val="20"/>
              </w:rPr>
              <w:t xml:space="preserve">expenses </w:t>
            </w:r>
          </w:p>
        </w:tc>
        <w:tc>
          <w:tcPr>
            <w:tcW w:w="2195" w:type="dxa"/>
            <w:tcBorders>
              <w:top w:val="single" w:sz="2" w:space="0" w:color="0070C0"/>
              <w:left w:val="nil"/>
              <w:bottom w:val="single" w:sz="2" w:space="0" w:color="0070C0"/>
              <w:right w:val="nil"/>
            </w:tcBorders>
          </w:tcPr>
          <w:p w14:paraId="467AE476" w14:textId="04954F60" w:rsidR="00271D67" w:rsidRPr="00FF194A" w:rsidRDefault="00271D67" w:rsidP="749DB7B2">
            <w:pPr>
              <w:jc w:val="right"/>
              <w:rPr>
                <w:rFonts w:ascii="Calibri" w:eastAsia="Calibri" w:hAnsi="Calibri" w:cs="Calibri"/>
                <w:sz w:val="20"/>
                <w:szCs w:val="20"/>
              </w:rPr>
            </w:pPr>
            <w:r w:rsidRPr="00FF194A">
              <w:rPr>
                <w:rFonts w:ascii="Calibri" w:eastAsia="Calibri" w:hAnsi="Calibri" w:cs="Calibri"/>
                <w:sz w:val="20"/>
                <w:szCs w:val="20"/>
              </w:rPr>
              <w:t xml:space="preserve"> R$ </w:t>
            </w:r>
            <w:r w:rsidRPr="006465B3">
              <w:rPr>
                <w:rFonts w:ascii="Calibri" w:eastAsia="Calibri" w:hAnsi="Calibri" w:cs="Calibri"/>
                <w:sz w:val="20"/>
                <w:szCs w:val="20"/>
              </w:rPr>
              <w:t>530</w:t>
            </w:r>
            <w:r w:rsidR="004B0CB4" w:rsidRPr="006465B3">
              <w:rPr>
                <w:rFonts w:ascii="Calibri" w:eastAsia="Calibri" w:hAnsi="Calibri" w:cs="Calibri"/>
                <w:sz w:val="20"/>
                <w:szCs w:val="20"/>
              </w:rPr>
              <w:t>,</w:t>
            </w:r>
            <w:r w:rsidRPr="006465B3">
              <w:rPr>
                <w:rFonts w:ascii="Calibri" w:eastAsia="Calibri" w:hAnsi="Calibri" w:cs="Calibri"/>
                <w:sz w:val="20"/>
                <w:szCs w:val="20"/>
              </w:rPr>
              <w:t>694</w:t>
            </w:r>
            <w:r w:rsidR="004B0CB4" w:rsidRPr="006465B3">
              <w:rPr>
                <w:rFonts w:ascii="Calibri" w:eastAsia="Calibri" w:hAnsi="Calibri" w:cs="Calibri"/>
                <w:sz w:val="20"/>
                <w:szCs w:val="20"/>
              </w:rPr>
              <w:t>.</w:t>
            </w:r>
            <w:r w:rsidRPr="006465B3">
              <w:rPr>
                <w:rFonts w:ascii="Calibri" w:eastAsia="Calibri" w:hAnsi="Calibri" w:cs="Calibri"/>
                <w:sz w:val="20"/>
                <w:szCs w:val="20"/>
              </w:rPr>
              <w:t>99</w:t>
            </w:r>
          </w:p>
        </w:tc>
        <w:tc>
          <w:tcPr>
            <w:tcW w:w="3189" w:type="dxa"/>
            <w:tcBorders>
              <w:top w:val="single" w:sz="2" w:space="0" w:color="0070C0"/>
              <w:left w:val="nil"/>
              <w:bottom w:val="single" w:sz="2" w:space="0" w:color="0070C0"/>
              <w:right w:val="nil"/>
            </w:tcBorders>
          </w:tcPr>
          <w:p w14:paraId="739B5D9A" w14:textId="6D447DAB" w:rsidR="00271D67" w:rsidRPr="00FF194A" w:rsidRDefault="00271D67" w:rsidP="749DB7B2">
            <w:pPr>
              <w:jc w:val="right"/>
              <w:rPr>
                <w:rFonts w:ascii="Calibri" w:eastAsia="Calibri" w:hAnsi="Calibri" w:cs="Calibri"/>
                <w:b/>
                <w:bCs/>
                <w:sz w:val="20"/>
                <w:szCs w:val="20"/>
              </w:rPr>
            </w:pPr>
            <w:r w:rsidRPr="006465B3">
              <w:rPr>
                <w:rFonts w:ascii="Calibri" w:eastAsia="Calibri" w:hAnsi="Calibri" w:cs="Calibri"/>
                <w:b/>
                <w:bCs/>
                <w:sz w:val="20"/>
                <w:szCs w:val="20"/>
              </w:rPr>
              <w:t>R$ 733</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247</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62</w:t>
            </w:r>
          </w:p>
        </w:tc>
      </w:tr>
      <w:tr w:rsidR="00271D67" w:rsidRPr="006C4CE2" w14:paraId="34534425" w14:textId="77777777" w:rsidTr="007B2BD4">
        <w:tc>
          <w:tcPr>
            <w:tcW w:w="3405" w:type="dxa"/>
            <w:tcBorders>
              <w:top w:val="single" w:sz="2" w:space="0" w:color="0070C0"/>
              <w:left w:val="nil"/>
              <w:bottom w:val="single" w:sz="2" w:space="0" w:color="0070C0"/>
              <w:right w:val="nil"/>
            </w:tcBorders>
          </w:tcPr>
          <w:p w14:paraId="2D99EED4" w14:textId="77777777"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SisGen and SisGen Research</w:t>
            </w:r>
          </w:p>
          <w:p w14:paraId="19AEBDAE" w14:textId="0BD22468" w:rsidR="00271D67" w:rsidRPr="006C4CE2" w:rsidRDefault="00271D67" w:rsidP="749DB7B2">
            <w:pPr>
              <w:rPr>
                <w:rFonts w:ascii="Calibri" w:eastAsia="Calibri" w:hAnsi="Calibri" w:cs="Calibri"/>
                <w:sz w:val="20"/>
                <w:szCs w:val="20"/>
              </w:rPr>
            </w:pPr>
            <w:r w:rsidRPr="006C4CE2">
              <w:rPr>
                <w:rFonts w:ascii="Calibri" w:eastAsia="Calibri" w:hAnsi="Calibri" w:cs="Calibri"/>
                <w:sz w:val="20"/>
                <w:szCs w:val="20"/>
              </w:rPr>
              <w:t xml:space="preserve">Module </w:t>
            </w:r>
          </w:p>
        </w:tc>
        <w:tc>
          <w:tcPr>
            <w:tcW w:w="2195" w:type="dxa"/>
            <w:tcBorders>
              <w:top w:val="single" w:sz="2" w:space="0" w:color="0070C0"/>
              <w:left w:val="nil"/>
              <w:bottom w:val="single" w:sz="2" w:space="0" w:color="0070C0"/>
              <w:right w:val="nil"/>
            </w:tcBorders>
          </w:tcPr>
          <w:p w14:paraId="5FAF77DA" w14:textId="6F6E84B0" w:rsidR="00271D67" w:rsidRPr="00FF194A" w:rsidRDefault="00271D67" w:rsidP="749DB7B2">
            <w:pPr>
              <w:jc w:val="right"/>
              <w:rPr>
                <w:rFonts w:ascii="Calibri" w:eastAsia="Calibri" w:hAnsi="Calibri" w:cs="Calibri"/>
                <w:sz w:val="20"/>
                <w:szCs w:val="20"/>
              </w:rPr>
            </w:pPr>
            <w:r w:rsidRPr="00FF194A">
              <w:rPr>
                <w:rFonts w:ascii="Calibri" w:eastAsia="Calibri" w:hAnsi="Calibri" w:cs="Calibri"/>
                <w:sz w:val="20"/>
                <w:szCs w:val="20"/>
              </w:rPr>
              <w:t xml:space="preserve">R$ </w:t>
            </w:r>
            <w:r w:rsidRPr="006465B3">
              <w:rPr>
                <w:rFonts w:ascii="Calibri" w:eastAsia="Calibri" w:hAnsi="Calibri" w:cs="Calibri"/>
                <w:sz w:val="20"/>
                <w:szCs w:val="20"/>
              </w:rPr>
              <w:t>2</w:t>
            </w:r>
            <w:r w:rsidR="004B0CB4" w:rsidRPr="006465B3">
              <w:rPr>
                <w:rFonts w:ascii="Calibri" w:eastAsia="Calibri" w:hAnsi="Calibri" w:cs="Calibri"/>
                <w:sz w:val="20"/>
                <w:szCs w:val="20"/>
              </w:rPr>
              <w:t>,</w:t>
            </w:r>
            <w:r w:rsidRPr="006465B3">
              <w:rPr>
                <w:rFonts w:ascii="Calibri" w:eastAsia="Calibri" w:hAnsi="Calibri" w:cs="Calibri"/>
                <w:sz w:val="20"/>
                <w:szCs w:val="20"/>
              </w:rPr>
              <w:t>209</w:t>
            </w:r>
            <w:r w:rsidR="004B0CB4" w:rsidRPr="006465B3">
              <w:rPr>
                <w:rFonts w:ascii="Calibri" w:eastAsia="Calibri" w:hAnsi="Calibri" w:cs="Calibri"/>
                <w:sz w:val="20"/>
                <w:szCs w:val="20"/>
              </w:rPr>
              <w:t>,</w:t>
            </w:r>
            <w:r w:rsidRPr="006465B3">
              <w:rPr>
                <w:rFonts w:ascii="Calibri" w:eastAsia="Calibri" w:hAnsi="Calibri" w:cs="Calibri"/>
                <w:sz w:val="20"/>
                <w:szCs w:val="20"/>
              </w:rPr>
              <w:t>724</w:t>
            </w:r>
            <w:r w:rsidR="004B0CB4" w:rsidRPr="006465B3">
              <w:rPr>
                <w:rFonts w:ascii="Calibri" w:eastAsia="Calibri" w:hAnsi="Calibri" w:cs="Calibri"/>
                <w:sz w:val="20"/>
                <w:szCs w:val="20"/>
              </w:rPr>
              <w:t>.</w:t>
            </w:r>
            <w:r w:rsidRPr="006465B3">
              <w:rPr>
                <w:rFonts w:ascii="Calibri" w:eastAsia="Calibri" w:hAnsi="Calibri" w:cs="Calibri"/>
                <w:sz w:val="20"/>
                <w:szCs w:val="20"/>
              </w:rPr>
              <w:t>80</w:t>
            </w:r>
          </w:p>
        </w:tc>
        <w:tc>
          <w:tcPr>
            <w:tcW w:w="3189" w:type="dxa"/>
            <w:tcBorders>
              <w:top w:val="single" w:sz="2" w:space="0" w:color="0070C0"/>
              <w:left w:val="nil"/>
              <w:bottom w:val="single" w:sz="2" w:space="0" w:color="0070C0"/>
              <w:right w:val="nil"/>
            </w:tcBorders>
          </w:tcPr>
          <w:p w14:paraId="6995D683" w14:textId="00F98CAE" w:rsidR="00271D67" w:rsidRPr="00FF194A" w:rsidRDefault="00271D67" w:rsidP="749DB7B2">
            <w:pPr>
              <w:jc w:val="right"/>
              <w:rPr>
                <w:rFonts w:ascii="Calibri" w:eastAsia="Calibri" w:hAnsi="Calibri" w:cs="Calibri"/>
                <w:b/>
                <w:bCs/>
                <w:sz w:val="20"/>
                <w:szCs w:val="20"/>
              </w:rPr>
            </w:pPr>
            <w:r w:rsidRPr="006465B3">
              <w:rPr>
                <w:rFonts w:ascii="Calibri" w:eastAsia="Calibri" w:hAnsi="Calibri" w:cs="Calibri"/>
                <w:b/>
                <w:bCs/>
                <w:sz w:val="20"/>
                <w:szCs w:val="20"/>
              </w:rPr>
              <w:t>R$ 2</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496</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782</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76</w:t>
            </w:r>
          </w:p>
        </w:tc>
      </w:tr>
      <w:tr w:rsidR="00271D67" w:rsidRPr="006C4CE2" w14:paraId="13A0C3F8" w14:textId="77777777" w:rsidTr="007B2BD4">
        <w:tc>
          <w:tcPr>
            <w:tcW w:w="3405" w:type="dxa"/>
            <w:tcBorders>
              <w:top w:val="single" w:sz="2" w:space="0" w:color="0070C0"/>
              <w:left w:val="nil"/>
              <w:bottom w:val="nil"/>
              <w:right w:val="nil"/>
            </w:tcBorders>
          </w:tcPr>
          <w:p w14:paraId="35F617BF" w14:textId="56F089E2" w:rsidR="00271D67" w:rsidRPr="006C4CE2" w:rsidRDefault="006013CB" w:rsidP="749DB7B2">
            <w:pPr>
              <w:rPr>
                <w:rFonts w:ascii="Calibri" w:eastAsia="Calibri" w:hAnsi="Calibri" w:cs="Calibri"/>
                <w:sz w:val="20"/>
                <w:szCs w:val="20"/>
              </w:rPr>
            </w:pPr>
            <w:r w:rsidRPr="006013CB">
              <w:rPr>
                <w:rFonts w:ascii="Calibri" w:eastAsia="Calibri" w:hAnsi="Calibri" w:cs="Calibri"/>
                <w:sz w:val="20"/>
                <w:szCs w:val="20"/>
              </w:rPr>
              <w:t>IBAMA Capacity building on ABS enforcement and GH/ATK protection</w:t>
            </w:r>
          </w:p>
        </w:tc>
        <w:tc>
          <w:tcPr>
            <w:tcW w:w="2195" w:type="dxa"/>
            <w:tcBorders>
              <w:top w:val="single" w:sz="2" w:space="0" w:color="0070C0"/>
              <w:left w:val="nil"/>
              <w:bottom w:val="nil"/>
              <w:right w:val="nil"/>
            </w:tcBorders>
          </w:tcPr>
          <w:p w14:paraId="3CF9C158" w14:textId="2F0847F5" w:rsidR="00271D67" w:rsidRPr="00FF194A" w:rsidRDefault="00271D67" w:rsidP="749DB7B2">
            <w:pPr>
              <w:jc w:val="right"/>
              <w:rPr>
                <w:rFonts w:ascii="Calibri" w:eastAsia="Calibri" w:hAnsi="Calibri" w:cs="Calibri"/>
                <w:sz w:val="20"/>
                <w:szCs w:val="20"/>
              </w:rPr>
            </w:pPr>
            <w:r w:rsidRPr="00FF194A">
              <w:rPr>
                <w:rFonts w:ascii="Calibri" w:eastAsia="Calibri" w:hAnsi="Calibri" w:cs="Calibri"/>
                <w:sz w:val="20"/>
                <w:szCs w:val="20"/>
              </w:rPr>
              <w:t>R</w:t>
            </w:r>
            <w:r w:rsidRPr="006465B3">
              <w:rPr>
                <w:rFonts w:ascii="Calibri" w:eastAsia="Calibri" w:hAnsi="Calibri" w:cs="Calibri"/>
                <w:sz w:val="20"/>
                <w:szCs w:val="20"/>
              </w:rPr>
              <w:t>$ 263</w:t>
            </w:r>
            <w:r w:rsidR="004B0CB4" w:rsidRPr="006465B3">
              <w:rPr>
                <w:rFonts w:ascii="Calibri" w:eastAsia="Calibri" w:hAnsi="Calibri" w:cs="Calibri"/>
                <w:sz w:val="20"/>
                <w:szCs w:val="20"/>
              </w:rPr>
              <w:t>,</w:t>
            </w:r>
            <w:r w:rsidRPr="006465B3">
              <w:rPr>
                <w:rFonts w:ascii="Calibri" w:eastAsia="Calibri" w:hAnsi="Calibri" w:cs="Calibri"/>
                <w:sz w:val="20"/>
                <w:szCs w:val="20"/>
              </w:rPr>
              <w:t>936</w:t>
            </w:r>
            <w:r w:rsidR="004B0CB4" w:rsidRPr="006465B3">
              <w:rPr>
                <w:rFonts w:ascii="Calibri" w:eastAsia="Calibri" w:hAnsi="Calibri" w:cs="Calibri"/>
                <w:sz w:val="20"/>
                <w:szCs w:val="20"/>
              </w:rPr>
              <w:t>.</w:t>
            </w:r>
            <w:r w:rsidRPr="006465B3">
              <w:rPr>
                <w:rFonts w:ascii="Calibri" w:eastAsia="Calibri" w:hAnsi="Calibri" w:cs="Calibri"/>
                <w:sz w:val="20"/>
                <w:szCs w:val="20"/>
              </w:rPr>
              <w:t>80</w:t>
            </w:r>
          </w:p>
        </w:tc>
        <w:tc>
          <w:tcPr>
            <w:tcW w:w="3189" w:type="dxa"/>
            <w:tcBorders>
              <w:top w:val="single" w:sz="2" w:space="0" w:color="0070C0"/>
              <w:left w:val="nil"/>
              <w:bottom w:val="nil"/>
              <w:right w:val="nil"/>
            </w:tcBorders>
          </w:tcPr>
          <w:p w14:paraId="547B2755" w14:textId="14462861" w:rsidR="00271D67" w:rsidRPr="00FF194A" w:rsidRDefault="00271D67" w:rsidP="749DB7B2">
            <w:pPr>
              <w:jc w:val="right"/>
              <w:rPr>
                <w:rFonts w:ascii="Calibri" w:eastAsia="Calibri" w:hAnsi="Calibri" w:cs="Calibri"/>
                <w:b/>
                <w:bCs/>
                <w:sz w:val="20"/>
                <w:szCs w:val="20"/>
              </w:rPr>
            </w:pPr>
            <w:r w:rsidRPr="00FF194A">
              <w:rPr>
                <w:rFonts w:ascii="Calibri" w:eastAsia="Calibri" w:hAnsi="Calibri" w:cs="Calibri"/>
                <w:b/>
                <w:bCs/>
                <w:sz w:val="20"/>
                <w:szCs w:val="20"/>
              </w:rPr>
              <w:t xml:space="preserve">R$ </w:t>
            </w:r>
            <w:r w:rsidRPr="006465B3">
              <w:rPr>
                <w:rFonts w:ascii="Calibri" w:eastAsia="Calibri" w:hAnsi="Calibri" w:cs="Calibri"/>
                <w:b/>
                <w:bCs/>
                <w:sz w:val="20"/>
                <w:szCs w:val="20"/>
              </w:rPr>
              <w:t>322</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366</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05</w:t>
            </w:r>
          </w:p>
        </w:tc>
      </w:tr>
      <w:tr w:rsidR="00271D67" w:rsidRPr="006C4CE2" w14:paraId="6F35C046" w14:textId="77777777" w:rsidTr="006465B3">
        <w:tc>
          <w:tcPr>
            <w:tcW w:w="34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4C6E7" w:themeFill="accent1" w:themeFillTint="66"/>
          </w:tcPr>
          <w:p w14:paraId="26A00770" w14:textId="0600AC6F" w:rsidR="00271D67" w:rsidRPr="006C4CE2" w:rsidRDefault="00271D67" w:rsidP="749DB7B2">
            <w:pPr>
              <w:rPr>
                <w:rFonts w:ascii="Calibri" w:eastAsia="Calibri" w:hAnsi="Calibri" w:cs="Calibri"/>
                <w:b/>
                <w:bCs/>
                <w:color w:val="000000" w:themeColor="text1"/>
                <w:sz w:val="20"/>
                <w:szCs w:val="20"/>
              </w:rPr>
            </w:pPr>
            <w:r w:rsidRPr="7D7E4A9D">
              <w:rPr>
                <w:rFonts w:ascii="Calibri" w:eastAsia="Calibri" w:hAnsi="Calibri" w:cs="Calibri"/>
                <w:b/>
                <w:bCs/>
                <w:color w:val="000000" w:themeColor="text1"/>
                <w:sz w:val="20"/>
                <w:szCs w:val="20"/>
              </w:rPr>
              <w:t xml:space="preserve">Total Operation Costs </w:t>
            </w:r>
          </w:p>
        </w:tc>
        <w:tc>
          <w:tcPr>
            <w:tcW w:w="21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4C6E7" w:themeFill="accent1" w:themeFillTint="66"/>
          </w:tcPr>
          <w:p w14:paraId="644A0FC7" w14:textId="6EA91EE8" w:rsidR="00271D67" w:rsidRPr="00FF194A" w:rsidRDefault="00271D67" w:rsidP="749DB7B2">
            <w:pPr>
              <w:jc w:val="right"/>
              <w:rPr>
                <w:rFonts w:ascii="Calibri" w:eastAsia="Calibri" w:hAnsi="Calibri" w:cs="Calibri"/>
                <w:color w:val="000000" w:themeColor="text1"/>
                <w:sz w:val="20"/>
                <w:szCs w:val="20"/>
              </w:rPr>
            </w:pPr>
            <w:r w:rsidRPr="006465B3">
              <w:rPr>
                <w:rFonts w:ascii="Calibri" w:eastAsia="Calibri" w:hAnsi="Calibri" w:cs="Calibri"/>
                <w:color w:val="000000" w:themeColor="text1"/>
                <w:sz w:val="20"/>
                <w:szCs w:val="20"/>
              </w:rPr>
              <w:t>R$ 21</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311</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441</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26</w:t>
            </w:r>
          </w:p>
        </w:tc>
        <w:tc>
          <w:tcPr>
            <w:tcW w:w="318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B4C6E7" w:themeFill="accent1" w:themeFillTint="66"/>
          </w:tcPr>
          <w:p w14:paraId="084C3910" w14:textId="35799962" w:rsidR="00271D67" w:rsidRPr="00FF194A" w:rsidRDefault="00271D67" w:rsidP="749DB7B2">
            <w:pPr>
              <w:jc w:val="right"/>
              <w:rPr>
                <w:rFonts w:ascii="Calibri" w:eastAsia="Calibri" w:hAnsi="Calibri" w:cs="Calibri"/>
                <w:color w:val="000000" w:themeColor="text1"/>
                <w:sz w:val="20"/>
                <w:szCs w:val="20"/>
              </w:rPr>
            </w:pPr>
            <w:r w:rsidRPr="006465B3">
              <w:rPr>
                <w:rFonts w:ascii="Calibri" w:eastAsia="Calibri" w:hAnsi="Calibri" w:cs="Calibri"/>
                <w:b/>
                <w:bCs/>
                <w:color w:val="000000" w:themeColor="text1"/>
                <w:sz w:val="20"/>
                <w:szCs w:val="20"/>
              </w:rPr>
              <w:t>R$ 2</w:t>
            </w:r>
            <w:r w:rsidR="00FF194A" w:rsidRPr="006465B3">
              <w:rPr>
                <w:rFonts w:ascii="Calibri" w:eastAsia="Calibri" w:hAnsi="Calibri" w:cs="Calibri"/>
                <w:b/>
                <w:bCs/>
                <w:color w:val="000000" w:themeColor="text1"/>
                <w:sz w:val="20"/>
                <w:szCs w:val="20"/>
              </w:rPr>
              <w:t>5</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339</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041</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17</w:t>
            </w:r>
          </w:p>
        </w:tc>
      </w:tr>
      <w:tr w:rsidR="007E1FD8" w:rsidRPr="007E1FD8" w14:paraId="4D6134EA" w14:textId="77777777" w:rsidTr="006465B3">
        <w:tc>
          <w:tcPr>
            <w:tcW w:w="3405" w:type="dxa"/>
            <w:tcBorders>
              <w:top w:val="single" w:sz="18" w:space="0" w:color="FFFFFF" w:themeColor="background1"/>
              <w:left w:val="nil"/>
              <w:bottom w:val="single" w:sz="18" w:space="0" w:color="FFFFFF" w:themeColor="background1"/>
              <w:right w:val="nil"/>
            </w:tcBorders>
            <w:shd w:val="clear" w:color="auto" w:fill="auto"/>
          </w:tcPr>
          <w:p w14:paraId="294C0AEE" w14:textId="77777777" w:rsidR="007E1FD8" w:rsidRPr="007E1FD8" w:rsidRDefault="007E1FD8" w:rsidP="7D7E4A9D">
            <w:pPr>
              <w:rPr>
                <w:rFonts w:ascii="Calibri" w:eastAsia="Calibri" w:hAnsi="Calibri" w:cs="Calibri"/>
                <w:b/>
                <w:bCs/>
                <w:color w:val="FFFFFF" w:themeColor="background1"/>
                <w:sz w:val="20"/>
                <w:szCs w:val="20"/>
              </w:rPr>
            </w:pPr>
          </w:p>
        </w:tc>
        <w:tc>
          <w:tcPr>
            <w:tcW w:w="2195" w:type="dxa"/>
            <w:tcBorders>
              <w:top w:val="single" w:sz="18" w:space="0" w:color="FFFFFF" w:themeColor="background1"/>
              <w:left w:val="nil"/>
              <w:bottom w:val="single" w:sz="18" w:space="0" w:color="FFFFFF" w:themeColor="background1"/>
              <w:right w:val="nil"/>
            </w:tcBorders>
            <w:shd w:val="clear" w:color="auto" w:fill="auto"/>
          </w:tcPr>
          <w:p w14:paraId="654C0FF8" w14:textId="77777777" w:rsidR="007E1FD8" w:rsidRPr="00FF194A" w:rsidRDefault="007E1FD8" w:rsidP="00AE0A05">
            <w:pPr>
              <w:jc w:val="center"/>
              <w:rPr>
                <w:rFonts w:ascii="Calibri" w:eastAsia="Calibri" w:hAnsi="Calibri" w:cs="Calibri"/>
                <w:b/>
                <w:bCs/>
                <w:color w:val="FFFFFF" w:themeColor="background1"/>
                <w:sz w:val="20"/>
                <w:szCs w:val="20"/>
              </w:rPr>
            </w:pPr>
          </w:p>
        </w:tc>
        <w:tc>
          <w:tcPr>
            <w:tcW w:w="3189" w:type="dxa"/>
            <w:tcBorders>
              <w:top w:val="single" w:sz="18" w:space="0" w:color="FFFFFF" w:themeColor="background1"/>
              <w:left w:val="nil"/>
              <w:bottom w:val="single" w:sz="18" w:space="0" w:color="FFFFFF" w:themeColor="background1"/>
              <w:right w:val="nil"/>
            </w:tcBorders>
            <w:shd w:val="clear" w:color="auto" w:fill="auto"/>
          </w:tcPr>
          <w:p w14:paraId="320D902F" w14:textId="77777777" w:rsidR="007E1FD8" w:rsidRPr="00FF194A" w:rsidRDefault="007E1FD8" w:rsidP="7D7E4A9D">
            <w:pPr>
              <w:jc w:val="right"/>
              <w:rPr>
                <w:rFonts w:ascii="Calibri" w:eastAsia="Calibri" w:hAnsi="Calibri" w:cs="Calibri"/>
                <w:b/>
                <w:bCs/>
                <w:color w:val="FFFFFF" w:themeColor="background1"/>
                <w:sz w:val="20"/>
                <w:szCs w:val="20"/>
              </w:rPr>
            </w:pPr>
          </w:p>
        </w:tc>
      </w:tr>
      <w:tr w:rsidR="007E1FD8" w:rsidRPr="007E1FD8" w14:paraId="7C309710" w14:textId="77777777" w:rsidTr="007B2BD4">
        <w:tc>
          <w:tcPr>
            <w:tcW w:w="34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0EF02F50" w14:textId="77777777" w:rsidR="007E1FD8" w:rsidRDefault="00271D67" w:rsidP="007E1FD8">
            <w:pPr>
              <w:jc w:val="center"/>
              <w:rPr>
                <w:rFonts w:ascii="Calibri" w:eastAsia="Calibri" w:hAnsi="Calibri" w:cs="Calibri"/>
                <w:b/>
                <w:bCs/>
                <w:color w:val="FFFFFF" w:themeColor="background1"/>
                <w:sz w:val="20"/>
                <w:szCs w:val="20"/>
              </w:rPr>
            </w:pPr>
            <w:r w:rsidRPr="007E1FD8">
              <w:rPr>
                <w:rFonts w:ascii="Calibri" w:eastAsia="Calibri" w:hAnsi="Calibri" w:cs="Calibri"/>
                <w:b/>
                <w:bCs/>
                <w:color w:val="FFFFFF" w:themeColor="background1"/>
                <w:sz w:val="20"/>
                <w:szCs w:val="20"/>
              </w:rPr>
              <w:t xml:space="preserve">CBD Annual </w:t>
            </w:r>
          </w:p>
          <w:p w14:paraId="18ACE904" w14:textId="2F53BDD8" w:rsidR="007E1FD8" w:rsidRPr="007E1FD8" w:rsidRDefault="007E1FD8" w:rsidP="007E1FD8">
            <w:pPr>
              <w:jc w:val="center"/>
              <w:rPr>
                <w:rFonts w:ascii="Calibri" w:eastAsia="Calibri" w:hAnsi="Calibri" w:cs="Calibri"/>
                <w:b/>
                <w:bCs/>
                <w:color w:val="FFFFFF" w:themeColor="background1"/>
                <w:sz w:val="20"/>
                <w:szCs w:val="20"/>
              </w:rPr>
            </w:pPr>
            <w:r>
              <w:rPr>
                <w:rFonts w:ascii="Calibri" w:eastAsia="Calibri" w:hAnsi="Calibri" w:cs="Calibri"/>
                <w:b/>
                <w:bCs/>
                <w:color w:val="FFFFFF" w:themeColor="background1"/>
                <w:sz w:val="20"/>
                <w:szCs w:val="20"/>
              </w:rPr>
              <w:t>C</w:t>
            </w:r>
            <w:r w:rsidR="00271D67" w:rsidRPr="007E1FD8">
              <w:rPr>
                <w:rFonts w:ascii="Calibri" w:eastAsia="Calibri" w:hAnsi="Calibri" w:cs="Calibri"/>
                <w:b/>
                <w:bCs/>
                <w:color w:val="FFFFFF" w:themeColor="background1"/>
                <w:sz w:val="20"/>
                <w:szCs w:val="20"/>
              </w:rPr>
              <w:t>ontribution</w:t>
            </w:r>
          </w:p>
        </w:tc>
        <w:tc>
          <w:tcPr>
            <w:tcW w:w="21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4BE95A93" w14:textId="53B8A9E6" w:rsidR="00271D67" w:rsidRPr="00FF194A" w:rsidRDefault="00271D67" w:rsidP="00AE0A05">
            <w:pPr>
              <w:jc w:val="center"/>
              <w:rPr>
                <w:rFonts w:ascii="Calibri" w:eastAsia="Calibri" w:hAnsi="Calibri" w:cs="Calibri"/>
                <w:b/>
                <w:bCs/>
                <w:color w:val="FFFFFF" w:themeColor="background1"/>
                <w:sz w:val="20"/>
                <w:szCs w:val="20"/>
              </w:rPr>
            </w:pPr>
            <w:r w:rsidRPr="00FF194A">
              <w:rPr>
                <w:rFonts w:ascii="Calibri" w:eastAsia="Calibri" w:hAnsi="Calibri" w:cs="Calibri"/>
                <w:b/>
                <w:bCs/>
                <w:color w:val="FFFFFF" w:themeColor="background1"/>
                <w:sz w:val="20"/>
                <w:szCs w:val="20"/>
              </w:rPr>
              <w:t>Nominal</w:t>
            </w:r>
          </w:p>
          <w:p w14:paraId="7CE95931" w14:textId="6B5D66F8" w:rsidR="00271D67" w:rsidRPr="00FF194A" w:rsidRDefault="00271D67" w:rsidP="00AE0A05">
            <w:pPr>
              <w:jc w:val="center"/>
              <w:rPr>
                <w:rFonts w:ascii="Calibri" w:eastAsia="Calibri" w:hAnsi="Calibri" w:cs="Calibri"/>
                <w:b/>
                <w:bCs/>
                <w:color w:val="FFFFFF" w:themeColor="background1"/>
                <w:sz w:val="20"/>
                <w:szCs w:val="20"/>
              </w:rPr>
            </w:pPr>
            <w:r w:rsidRPr="00FF194A">
              <w:rPr>
                <w:rFonts w:ascii="Calibri" w:eastAsia="Calibri" w:hAnsi="Calibri" w:cs="Calibri"/>
                <w:b/>
                <w:bCs/>
                <w:color w:val="FFFFFF" w:themeColor="background1"/>
                <w:sz w:val="20"/>
                <w:szCs w:val="20"/>
              </w:rPr>
              <w:t>Value</w:t>
            </w:r>
          </w:p>
        </w:tc>
        <w:tc>
          <w:tcPr>
            <w:tcW w:w="318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623C569A" w14:textId="50018FFC" w:rsidR="00271D67" w:rsidRPr="00FF194A" w:rsidRDefault="00271D67" w:rsidP="006465B3">
            <w:pPr>
              <w:jc w:val="right"/>
              <w:rPr>
                <w:rFonts w:ascii="Calibri" w:eastAsia="Calibri" w:hAnsi="Calibri" w:cs="Calibri"/>
                <w:b/>
                <w:bCs/>
                <w:color w:val="FFFFFF" w:themeColor="background1"/>
                <w:sz w:val="20"/>
                <w:szCs w:val="20"/>
              </w:rPr>
            </w:pPr>
            <w:r w:rsidRPr="00FF194A">
              <w:rPr>
                <w:rFonts w:ascii="Calibri" w:eastAsia="Calibri" w:hAnsi="Calibri" w:cs="Calibri"/>
                <w:b/>
                <w:bCs/>
                <w:color w:val="FFFFFF" w:themeColor="background1"/>
                <w:sz w:val="20"/>
                <w:szCs w:val="20"/>
              </w:rPr>
              <w:t>Adjusted Value by</w:t>
            </w:r>
          </w:p>
          <w:p w14:paraId="01CF77F4" w14:textId="2AF84168" w:rsidR="00271D67" w:rsidRPr="00FF194A" w:rsidRDefault="00271D67" w:rsidP="006465B3">
            <w:pPr>
              <w:jc w:val="right"/>
              <w:rPr>
                <w:b/>
                <w:bCs/>
                <w:color w:val="FFFFFF" w:themeColor="background1"/>
              </w:rPr>
            </w:pPr>
            <w:r w:rsidRPr="00FF194A">
              <w:rPr>
                <w:rFonts w:ascii="Calibri" w:eastAsia="Calibri" w:hAnsi="Calibri" w:cs="Calibri"/>
                <w:b/>
                <w:bCs/>
                <w:color w:val="FFFFFF" w:themeColor="background1"/>
                <w:sz w:val="20"/>
                <w:szCs w:val="20"/>
              </w:rPr>
              <w:t>IPCA-E index (Aug/2022)</w:t>
            </w:r>
          </w:p>
        </w:tc>
      </w:tr>
      <w:tr w:rsidR="007B2BD4" w:rsidRPr="007E1FD8" w14:paraId="4082E561" w14:textId="77777777" w:rsidTr="007B2BD4">
        <w:tc>
          <w:tcPr>
            <w:tcW w:w="3405" w:type="dxa"/>
            <w:tcBorders>
              <w:top w:val="single" w:sz="18" w:space="0" w:color="FFFFFF" w:themeColor="background1"/>
              <w:left w:val="single" w:sz="18" w:space="0" w:color="FFFFFF" w:themeColor="background1"/>
              <w:bottom w:val="single" w:sz="2" w:space="0" w:color="0070C0"/>
              <w:right w:val="single" w:sz="18" w:space="0" w:color="FFFFFF" w:themeColor="background1"/>
            </w:tcBorders>
            <w:shd w:val="clear" w:color="auto" w:fill="auto"/>
          </w:tcPr>
          <w:p w14:paraId="3661FBF0" w14:textId="77777777" w:rsidR="007B2BD4" w:rsidRDefault="007B2BD4" w:rsidP="007B2BD4">
            <w:pPr>
              <w:rPr>
                <w:rFonts w:ascii="Calibri" w:eastAsia="Calibri" w:hAnsi="Calibri" w:cs="Calibri"/>
                <w:sz w:val="20"/>
                <w:szCs w:val="20"/>
              </w:rPr>
            </w:pPr>
            <w:r w:rsidRPr="7D7E4A9D">
              <w:rPr>
                <w:rFonts w:ascii="Calibri" w:eastAsia="Calibri" w:hAnsi="Calibri" w:cs="Calibri"/>
                <w:sz w:val="20"/>
                <w:szCs w:val="20"/>
              </w:rPr>
              <w:t>[A]</w:t>
            </w:r>
          </w:p>
          <w:p w14:paraId="1A4E1DEE" w14:textId="34236677" w:rsidR="007B2BD4" w:rsidRPr="007B2BD4" w:rsidRDefault="007B2BD4" w:rsidP="007B2BD4">
            <w:pPr>
              <w:rPr>
                <w:rFonts w:ascii="Calibri" w:eastAsia="Calibri" w:hAnsi="Calibri" w:cs="Calibri"/>
                <w:sz w:val="20"/>
                <w:szCs w:val="20"/>
              </w:rPr>
            </w:pPr>
            <w:r w:rsidRPr="7D7E4A9D">
              <w:rPr>
                <w:rFonts w:ascii="Calibri" w:eastAsia="Calibri" w:hAnsi="Calibri" w:cs="Calibri"/>
                <w:sz w:val="20"/>
                <w:szCs w:val="20"/>
              </w:rPr>
              <w:t>Paid</w:t>
            </w:r>
            <w:r w:rsidRPr="006C4CE2">
              <w:rPr>
                <w:rFonts w:ascii="Calibri" w:eastAsia="Calibri" w:hAnsi="Calibri" w:cs="Calibri"/>
                <w:sz w:val="20"/>
                <w:szCs w:val="20"/>
              </w:rPr>
              <w:t xml:space="preserve"> by Brazil 2016-2021</w:t>
            </w:r>
          </w:p>
        </w:tc>
        <w:tc>
          <w:tcPr>
            <w:tcW w:w="2195" w:type="dxa"/>
            <w:tcBorders>
              <w:top w:val="single" w:sz="18" w:space="0" w:color="FFFFFF" w:themeColor="background1"/>
              <w:left w:val="single" w:sz="18" w:space="0" w:color="FFFFFF" w:themeColor="background1"/>
              <w:bottom w:val="single" w:sz="2" w:space="0" w:color="0070C0"/>
              <w:right w:val="single" w:sz="18" w:space="0" w:color="FFFFFF" w:themeColor="background1"/>
            </w:tcBorders>
            <w:shd w:val="clear" w:color="auto" w:fill="auto"/>
          </w:tcPr>
          <w:p w14:paraId="1173A9F1" w14:textId="77777777" w:rsidR="007B2BD4" w:rsidRPr="00FF194A" w:rsidRDefault="007B2BD4" w:rsidP="007B2BD4">
            <w:pPr>
              <w:jc w:val="right"/>
              <w:rPr>
                <w:rFonts w:ascii="Calibri" w:eastAsia="Calibri" w:hAnsi="Calibri" w:cs="Calibri"/>
                <w:sz w:val="20"/>
                <w:szCs w:val="20"/>
              </w:rPr>
            </w:pPr>
          </w:p>
          <w:p w14:paraId="41DEF33A" w14:textId="53AE5351" w:rsidR="007B2BD4" w:rsidRPr="00FF194A" w:rsidRDefault="007B2BD4" w:rsidP="007B2BD4">
            <w:pPr>
              <w:jc w:val="right"/>
              <w:rPr>
                <w:rFonts w:ascii="Calibri" w:eastAsia="Calibri" w:hAnsi="Calibri" w:cs="Calibri"/>
                <w:b/>
                <w:bCs/>
                <w:color w:val="FFFFFF" w:themeColor="background1"/>
                <w:sz w:val="20"/>
                <w:szCs w:val="20"/>
              </w:rPr>
            </w:pPr>
            <w:r w:rsidRPr="006465B3">
              <w:rPr>
                <w:rFonts w:ascii="Calibri" w:eastAsia="Calibri" w:hAnsi="Calibri" w:cs="Calibri"/>
                <w:sz w:val="20"/>
                <w:szCs w:val="20"/>
              </w:rPr>
              <w:t>R$ 9,908,277.15</w:t>
            </w:r>
          </w:p>
        </w:tc>
        <w:tc>
          <w:tcPr>
            <w:tcW w:w="3189" w:type="dxa"/>
            <w:tcBorders>
              <w:top w:val="single" w:sz="18" w:space="0" w:color="FFFFFF" w:themeColor="background1"/>
              <w:left w:val="single" w:sz="18" w:space="0" w:color="FFFFFF" w:themeColor="background1"/>
              <w:bottom w:val="single" w:sz="2" w:space="0" w:color="0070C0"/>
              <w:right w:val="single" w:sz="18" w:space="0" w:color="FFFFFF" w:themeColor="background1"/>
            </w:tcBorders>
            <w:shd w:val="clear" w:color="auto" w:fill="auto"/>
          </w:tcPr>
          <w:p w14:paraId="450F3706" w14:textId="77777777" w:rsidR="007B2BD4" w:rsidRPr="00FF194A" w:rsidRDefault="007B2BD4" w:rsidP="007B2BD4">
            <w:pPr>
              <w:jc w:val="right"/>
              <w:rPr>
                <w:rFonts w:ascii="Calibri" w:eastAsia="Calibri" w:hAnsi="Calibri" w:cs="Calibri"/>
                <w:b/>
                <w:bCs/>
                <w:sz w:val="20"/>
                <w:szCs w:val="20"/>
              </w:rPr>
            </w:pPr>
          </w:p>
          <w:p w14:paraId="2125C1A7" w14:textId="2F25AEC4" w:rsidR="007B2BD4" w:rsidRPr="00FF194A" w:rsidRDefault="007B2BD4" w:rsidP="007B2BD4">
            <w:pPr>
              <w:jc w:val="right"/>
              <w:rPr>
                <w:rFonts w:ascii="Calibri" w:eastAsia="Calibri" w:hAnsi="Calibri" w:cs="Calibri"/>
                <w:b/>
                <w:bCs/>
                <w:color w:val="FFFFFF" w:themeColor="background1"/>
                <w:sz w:val="20"/>
                <w:szCs w:val="20"/>
              </w:rPr>
            </w:pPr>
            <w:r w:rsidRPr="006465B3">
              <w:rPr>
                <w:rFonts w:ascii="Calibri" w:eastAsia="Calibri" w:hAnsi="Calibri" w:cs="Calibri"/>
                <w:b/>
                <w:bCs/>
                <w:sz w:val="20"/>
                <w:szCs w:val="20"/>
              </w:rPr>
              <w:t>R$ 11,962,699.28</w:t>
            </w:r>
          </w:p>
        </w:tc>
      </w:tr>
      <w:tr w:rsidR="00271D67" w:rsidRPr="006C4CE2" w14:paraId="11240EFD" w14:textId="77777777" w:rsidTr="007B2BD4">
        <w:tc>
          <w:tcPr>
            <w:tcW w:w="3405" w:type="dxa"/>
            <w:tcBorders>
              <w:top w:val="single" w:sz="2" w:space="0" w:color="0070C0"/>
              <w:left w:val="nil"/>
              <w:bottom w:val="single" w:sz="18" w:space="0" w:color="FFFFFF" w:themeColor="background1"/>
              <w:right w:val="nil"/>
            </w:tcBorders>
          </w:tcPr>
          <w:p w14:paraId="2E26CD7F" w14:textId="0E1A87E0" w:rsidR="00271D67" w:rsidRPr="006C4CE2" w:rsidRDefault="00271D67" w:rsidP="749DB7B2">
            <w:pPr>
              <w:rPr>
                <w:rFonts w:ascii="Calibri" w:eastAsia="Calibri" w:hAnsi="Calibri" w:cs="Calibri"/>
                <w:sz w:val="20"/>
                <w:szCs w:val="20"/>
              </w:rPr>
            </w:pPr>
            <w:r w:rsidRPr="7D7E4A9D">
              <w:rPr>
                <w:rFonts w:ascii="Calibri" w:eastAsia="Calibri" w:hAnsi="Calibri" w:cs="Calibri"/>
                <w:sz w:val="20"/>
                <w:szCs w:val="20"/>
              </w:rPr>
              <w:t xml:space="preserve">[B] </w:t>
            </w:r>
            <w:r w:rsidRPr="006C4CE2">
              <w:rPr>
                <w:rFonts w:ascii="Calibri" w:eastAsia="Calibri" w:hAnsi="Calibri" w:cs="Calibri"/>
                <w:sz w:val="20"/>
                <w:szCs w:val="20"/>
              </w:rPr>
              <w:t xml:space="preserve"> </w:t>
            </w:r>
          </w:p>
          <w:p w14:paraId="064D76E0" w14:textId="5DCE116A" w:rsidR="00271D67" w:rsidRPr="006C4CE2" w:rsidRDefault="00271D67" w:rsidP="007B2BD4">
            <w:pPr>
              <w:rPr>
                <w:rFonts w:ascii="Calibri" w:eastAsia="Calibri" w:hAnsi="Calibri" w:cs="Calibri"/>
                <w:sz w:val="20"/>
                <w:szCs w:val="20"/>
              </w:rPr>
            </w:pPr>
            <w:r w:rsidRPr="54D28F68">
              <w:rPr>
                <w:rFonts w:ascii="Calibri" w:eastAsia="Calibri" w:hAnsi="Calibri" w:cs="Calibri"/>
                <w:sz w:val="20"/>
                <w:szCs w:val="20"/>
              </w:rPr>
              <w:t>Open balance in 2022 (CBD + NP)</w:t>
            </w:r>
          </w:p>
        </w:tc>
        <w:tc>
          <w:tcPr>
            <w:tcW w:w="2195" w:type="dxa"/>
            <w:tcBorders>
              <w:top w:val="single" w:sz="2" w:space="0" w:color="0070C0"/>
              <w:left w:val="nil"/>
              <w:bottom w:val="single" w:sz="18" w:space="0" w:color="FFFFFF" w:themeColor="background1"/>
              <w:right w:val="nil"/>
            </w:tcBorders>
          </w:tcPr>
          <w:p w14:paraId="6D651FEA" w14:textId="5DB80E19" w:rsidR="00271D67" w:rsidRPr="00FF194A" w:rsidRDefault="00271D67" w:rsidP="7D7E4A9D">
            <w:pPr>
              <w:jc w:val="right"/>
              <w:rPr>
                <w:rFonts w:ascii="Calibri" w:eastAsia="Calibri" w:hAnsi="Calibri" w:cs="Calibri"/>
                <w:sz w:val="20"/>
                <w:szCs w:val="20"/>
              </w:rPr>
            </w:pPr>
          </w:p>
          <w:p w14:paraId="05E7182A" w14:textId="0B45E12A" w:rsidR="00271D67" w:rsidRPr="00FF194A" w:rsidRDefault="00271D67" w:rsidP="749DB7B2">
            <w:pPr>
              <w:jc w:val="right"/>
              <w:rPr>
                <w:rFonts w:ascii="Calibri" w:eastAsia="Calibri" w:hAnsi="Calibri" w:cs="Calibri"/>
                <w:sz w:val="20"/>
                <w:szCs w:val="20"/>
              </w:rPr>
            </w:pPr>
            <w:r w:rsidRPr="00FF194A">
              <w:rPr>
                <w:rFonts w:ascii="Calibri" w:eastAsia="Calibri" w:hAnsi="Calibri" w:cs="Calibri"/>
                <w:sz w:val="20"/>
                <w:szCs w:val="20"/>
              </w:rPr>
              <w:t>R</w:t>
            </w:r>
            <w:r w:rsidRPr="006465B3">
              <w:rPr>
                <w:rFonts w:ascii="Calibri" w:eastAsia="Calibri" w:hAnsi="Calibri" w:cs="Calibri"/>
                <w:sz w:val="20"/>
                <w:szCs w:val="20"/>
              </w:rPr>
              <w:t>$ 3</w:t>
            </w:r>
            <w:r w:rsidR="004B0CB4" w:rsidRPr="006465B3">
              <w:rPr>
                <w:rFonts w:ascii="Calibri" w:eastAsia="Calibri" w:hAnsi="Calibri" w:cs="Calibri"/>
                <w:sz w:val="20"/>
                <w:szCs w:val="20"/>
              </w:rPr>
              <w:t>,</w:t>
            </w:r>
            <w:r w:rsidRPr="006465B3">
              <w:rPr>
                <w:rFonts w:ascii="Calibri" w:eastAsia="Calibri" w:hAnsi="Calibri" w:cs="Calibri"/>
                <w:sz w:val="20"/>
                <w:szCs w:val="20"/>
              </w:rPr>
              <w:t>113</w:t>
            </w:r>
            <w:r w:rsidR="004B0CB4" w:rsidRPr="006465B3">
              <w:rPr>
                <w:rFonts w:ascii="Calibri" w:eastAsia="Calibri" w:hAnsi="Calibri" w:cs="Calibri"/>
                <w:sz w:val="20"/>
                <w:szCs w:val="20"/>
              </w:rPr>
              <w:t>,</w:t>
            </w:r>
            <w:r w:rsidRPr="006465B3">
              <w:rPr>
                <w:rFonts w:ascii="Calibri" w:eastAsia="Calibri" w:hAnsi="Calibri" w:cs="Calibri"/>
                <w:sz w:val="20"/>
                <w:szCs w:val="20"/>
              </w:rPr>
              <w:t>474</w:t>
            </w:r>
            <w:r w:rsidR="004B0CB4" w:rsidRPr="006465B3">
              <w:rPr>
                <w:rFonts w:ascii="Calibri" w:eastAsia="Calibri" w:hAnsi="Calibri" w:cs="Calibri"/>
                <w:sz w:val="20"/>
                <w:szCs w:val="20"/>
              </w:rPr>
              <w:t>.</w:t>
            </w:r>
            <w:r w:rsidRPr="006465B3">
              <w:rPr>
                <w:rFonts w:ascii="Calibri" w:eastAsia="Calibri" w:hAnsi="Calibri" w:cs="Calibri"/>
                <w:sz w:val="20"/>
                <w:szCs w:val="20"/>
              </w:rPr>
              <w:t>00</w:t>
            </w:r>
          </w:p>
        </w:tc>
        <w:tc>
          <w:tcPr>
            <w:tcW w:w="3189" w:type="dxa"/>
            <w:tcBorders>
              <w:top w:val="single" w:sz="2" w:space="0" w:color="0070C0"/>
              <w:left w:val="nil"/>
              <w:bottom w:val="single" w:sz="18" w:space="0" w:color="FFFFFF" w:themeColor="background1"/>
              <w:right w:val="nil"/>
            </w:tcBorders>
          </w:tcPr>
          <w:p w14:paraId="0D96B922" w14:textId="16152A94" w:rsidR="00271D67" w:rsidRPr="00FF194A" w:rsidRDefault="00271D67" w:rsidP="749DB7B2">
            <w:pPr>
              <w:jc w:val="right"/>
              <w:rPr>
                <w:rFonts w:ascii="Calibri" w:eastAsia="Calibri" w:hAnsi="Calibri" w:cs="Calibri"/>
                <w:b/>
                <w:bCs/>
                <w:sz w:val="20"/>
                <w:szCs w:val="20"/>
              </w:rPr>
            </w:pPr>
          </w:p>
          <w:p w14:paraId="6A4917D4" w14:textId="457EFFAD" w:rsidR="00271D67" w:rsidRPr="00FF194A" w:rsidRDefault="00271D67" w:rsidP="007B2BD4">
            <w:pPr>
              <w:jc w:val="right"/>
              <w:rPr>
                <w:rFonts w:ascii="Calibri" w:eastAsia="Calibri" w:hAnsi="Calibri" w:cs="Calibri"/>
                <w:b/>
                <w:bCs/>
                <w:sz w:val="20"/>
                <w:szCs w:val="20"/>
              </w:rPr>
            </w:pPr>
            <w:r w:rsidRPr="006465B3">
              <w:rPr>
                <w:rFonts w:ascii="Calibri" w:eastAsia="Calibri" w:hAnsi="Calibri" w:cs="Calibri"/>
                <w:b/>
                <w:bCs/>
                <w:sz w:val="20"/>
                <w:szCs w:val="20"/>
              </w:rPr>
              <w:t>R$ 3</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113</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474</w:t>
            </w:r>
            <w:r w:rsidR="004B0CB4" w:rsidRPr="006465B3">
              <w:rPr>
                <w:rFonts w:ascii="Calibri" w:eastAsia="Calibri" w:hAnsi="Calibri" w:cs="Calibri"/>
                <w:b/>
                <w:bCs/>
                <w:sz w:val="20"/>
                <w:szCs w:val="20"/>
              </w:rPr>
              <w:t>.</w:t>
            </w:r>
            <w:r w:rsidRPr="006465B3">
              <w:rPr>
                <w:rFonts w:ascii="Calibri" w:eastAsia="Calibri" w:hAnsi="Calibri" w:cs="Calibri"/>
                <w:b/>
                <w:bCs/>
                <w:sz w:val="20"/>
                <w:szCs w:val="20"/>
              </w:rPr>
              <w:t>00</w:t>
            </w:r>
          </w:p>
        </w:tc>
      </w:tr>
      <w:tr w:rsidR="00271D67" w:rsidRPr="006C4CE2" w14:paraId="1647A58D" w14:textId="77777777" w:rsidTr="006465B3">
        <w:tc>
          <w:tcPr>
            <w:tcW w:w="340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tcPr>
          <w:p w14:paraId="0234B5BF" w14:textId="1D0FDE3A" w:rsidR="00271D67" w:rsidRPr="006C4CE2" w:rsidRDefault="00271D67" w:rsidP="7D7E4A9D">
            <w:pPr>
              <w:rPr>
                <w:rFonts w:ascii="Calibri" w:eastAsia="Calibri" w:hAnsi="Calibri" w:cs="Calibri"/>
                <w:b/>
                <w:bCs/>
                <w:color w:val="000000" w:themeColor="text1"/>
                <w:sz w:val="20"/>
                <w:szCs w:val="20"/>
              </w:rPr>
            </w:pPr>
            <w:r w:rsidRPr="54D28F68">
              <w:rPr>
                <w:rFonts w:ascii="Calibri" w:eastAsia="Calibri" w:hAnsi="Calibri" w:cs="Calibri"/>
                <w:b/>
                <w:bCs/>
                <w:color w:val="000000" w:themeColor="text1"/>
                <w:sz w:val="20"/>
                <w:szCs w:val="20"/>
              </w:rPr>
              <w:t>Combined Costs</w:t>
            </w:r>
          </w:p>
          <w:p w14:paraId="2F5FB3C3" w14:textId="4009F253" w:rsidR="00271D67" w:rsidRPr="006C4CE2" w:rsidRDefault="00271D67" w:rsidP="749DB7B2">
            <w:pPr>
              <w:rPr>
                <w:rFonts w:ascii="Calibri" w:eastAsia="Calibri" w:hAnsi="Calibri" w:cs="Calibri"/>
                <w:b/>
                <w:bCs/>
                <w:color w:val="000000" w:themeColor="text1"/>
                <w:sz w:val="20"/>
                <w:szCs w:val="20"/>
              </w:rPr>
            </w:pPr>
            <w:r w:rsidRPr="54D28F68">
              <w:rPr>
                <w:rFonts w:ascii="Calibri" w:eastAsia="Calibri" w:hAnsi="Calibri" w:cs="Calibri"/>
                <w:b/>
                <w:bCs/>
                <w:color w:val="000000" w:themeColor="text1"/>
                <w:sz w:val="20"/>
                <w:szCs w:val="20"/>
              </w:rPr>
              <w:t>Operation</w:t>
            </w:r>
            <w:r w:rsidR="00FB5839">
              <w:rPr>
                <w:rFonts w:ascii="Calibri" w:eastAsia="Calibri" w:hAnsi="Calibri" w:cs="Calibri"/>
                <w:b/>
                <w:bCs/>
                <w:color w:val="000000" w:themeColor="text1"/>
                <w:sz w:val="20"/>
                <w:szCs w:val="20"/>
              </w:rPr>
              <w:t>s</w:t>
            </w:r>
            <w:r w:rsidRPr="54D28F68">
              <w:rPr>
                <w:rFonts w:ascii="Calibri" w:eastAsia="Calibri" w:hAnsi="Calibri" w:cs="Calibri"/>
                <w:b/>
                <w:bCs/>
                <w:color w:val="000000" w:themeColor="text1"/>
                <w:sz w:val="20"/>
                <w:szCs w:val="20"/>
              </w:rPr>
              <w:t xml:space="preserve"> + CBD Contribution</w:t>
            </w:r>
            <w:r w:rsidR="00FB5839">
              <w:rPr>
                <w:rFonts w:ascii="Calibri" w:eastAsia="Calibri" w:hAnsi="Calibri" w:cs="Calibri"/>
                <w:b/>
                <w:bCs/>
                <w:color w:val="000000" w:themeColor="text1"/>
                <w:sz w:val="20"/>
                <w:szCs w:val="20"/>
              </w:rPr>
              <w:t>s</w:t>
            </w:r>
            <w:r w:rsidRPr="54D28F68">
              <w:rPr>
                <w:rFonts w:ascii="Calibri" w:eastAsia="Calibri" w:hAnsi="Calibri" w:cs="Calibri"/>
                <w:b/>
                <w:bCs/>
                <w:color w:val="000000" w:themeColor="text1"/>
                <w:sz w:val="20"/>
                <w:szCs w:val="20"/>
              </w:rPr>
              <w:t xml:space="preserve"> [</w:t>
            </w:r>
            <w:r w:rsidR="006013CB" w:rsidRPr="54D28F68">
              <w:rPr>
                <w:rFonts w:ascii="Calibri" w:eastAsia="Calibri" w:hAnsi="Calibri" w:cs="Calibri"/>
                <w:b/>
                <w:bCs/>
                <w:color w:val="000000" w:themeColor="text1"/>
                <w:sz w:val="20"/>
                <w:szCs w:val="20"/>
              </w:rPr>
              <w:t>A, B</w:t>
            </w:r>
            <w:r w:rsidRPr="54D28F68">
              <w:rPr>
                <w:rFonts w:ascii="Calibri" w:eastAsia="Calibri" w:hAnsi="Calibri" w:cs="Calibri"/>
                <w:b/>
                <w:bCs/>
                <w:color w:val="000000" w:themeColor="text1"/>
                <w:sz w:val="20"/>
                <w:szCs w:val="20"/>
              </w:rPr>
              <w:t>]</w:t>
            </w:r>
          </w:p>
        </w:tc>
        <w:tc>
          <w:tcPr>
            <w:tcW w:w="21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tcPr>
          <w:p w14:paraId="110455E5" w14:textId="730C9106" w:rsidR="00271D67" w:rsidRPr="00FF194A" w:rsidRDefault="00271D67" w:rsidP="7D7E4A9D">
            <w:pPr>
              <w:jc w:val="right"/>
              <w:rPr>
                <w:rFonts w:ascii="Calibri" w:eastAsia="Calibri" w:hAnsi="Calibri" w:cs="Calibri"/>
                <w:color w:val="000000" w:themeColor="text1"/>
                <w:sz w:val="20"/>
                <w:szCs w:val="20"/>
              </w:rPr>
            </w:pPr>
          </w:p>
          <w:p w14:paraId="05800DFE" w14:textId="747A9350" w:rsidR="00271D67" w:rsidRPr="00FF194A" w:rsidRDefault="00271D67" w:rsidP="749DB7B2">
            <w:pPr>
              <w:jc w:val="right"/>
              <w:rPr>
                <w:rFonts w:ascii="Calibri" w:eastAsia="Calibri" w:hAnsi="Calibri" w:cs="Calibri"/>
                <w:color w:val="000000" w:themeColor="text1"/>
                <w:sz w:val="20"/>
                <w:szCs w:val="20"/>
              </w:rPr>
            </w:pPr>
            <w:r w:rsidRPr="006465B3">
              <w:rPr>
                <w:rFonts w:ascii="Calibri" w:eastAsia="Calibri" w:hAnsi="Calibri" w:cs="Calibri"/>
                <w:color w:val="000000" w:themeColor="text1"/>
                <w:sz w:val="20"/>
                <w:szCs w:val="20"/>
              </w:rPr>
              <w:t>R$ 34</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333</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192</w:t>
            </w:r>
            <w:r w:rsidR="004B0CB4" w:rsidRPr="006465B3">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41</w:t>
            </w:r>
          </w:p>
        </w:tc>
        <w:tc>
          <w:tcPr>
            <w:tcW w:w="318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tcPr>
          <w:p w14:paraId="007E0F4D" w14:textId="78B85A50" w:rsidR="00271D67" w:rsidRPr="00FF194A" w:rsidRDefault="00271D67" w:rsidP="7D7E4A9D">
            <w:pPr>
              <w:jc w:val="right"/>
              <w:rPr>
                <w:rFonts w:ascii="Calibri" w:eastAsia="Calibri" w:hAnsi="Calibri" w:cs="Calibri"/>
                <w:b/>
                <w:bCs/>
                <w:color w:val="000000" w:themeColor="text1"/>
                <w:sz w:val="20"/>
                <w:szCs w:val="20"/>
              </w:rPr>
            </w:pPr>
          </w:p>
          <w:p w14:paraId="1CA58E0F" w14:textId="1941F606" w:rsidR="00271D67" w:rsidRPr="00FF194A" w:rsidRDefault="00271D67" w:rsidP="749DB7B2">
            <w:pPr>
              <w:jc w:val="right"/>
              <w:rPr>
                <w:rFonts w:ascii="Calibri" w:eastAsia="Calibri" w:hAnsi="Calibri" w:cs="Calibri"/>
                <w:b/>
                <w:bCs/>
                <w:color w:val="000000" w:themeColor="text1"/>
                <w:sz w:val="20"/>
                <w:szCs w:val="20"/>
              </w:rPr>
            </w:pPr>
            <w:r w:rsidRPr="006465B3">
              <w:rPr>
                <w:rFonts w:ascii="Calibri" w:eastAsia="Calibri" w:hAnsi="Calibri" w:cs="Calibri"/>
                <w:b/>
                <w:bCs/>
                <w:color w:val="000000" w:themeColor="text1"/>
                <w:sz w:val="20"/>
                <w:szCs w:val="20"/>
              </w:rPr>
              <w:t>R$ 40</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415</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214</w:t>
            </w:r>
            <w:r w:rsidR="004B0CB4" w:rsidRPr="006465B3">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45</w:t>
            </w:r>
          </w:p>
        </w:tc>
      </w:tr>
    </w:tbl>
    <w:p w14:paraId="309A4437" w14:textId="7DD2FAEE" w:rsidR="00FB5839" w:rsidRDefault="00271D67" w:rsidP="749DB7B2">
      <w:pPr>
        <w:spacing w:line="257" w:lineRule="auto"/>
        <w:rPr>
          <w:rFonts w:ascii="Calibri" w:eastAsia="Calibri" w:hAnsi="Calibri" w:cs="Calibri"/>
          <w:sz w:val="20"/>
          <w:szCs w:val="20"/>
          <w:lang w:val="en"/>
        </w:rPr>
      </w:pPr>
      <w:r w:rsidRPr="006C4CE2">
        <w:rPr>
          <w:rFonts w:ascii="Calibri" w:eastAsia="Calibri" w:hAnsi="Calibri" w:cs="Calibri"/>
          <w:sz w:val="20"/>
          <w:szCs w:val="20"/>
          <w:lang w:val="en"/>
        </w:rPr>
        <w:t xml:space="preserve"> </w:t>
      </w:r>
    </w:p>
    <w:p w14:paraId="6A512E12" w14:textId="2E530B8D" w:rsidR="00146802" w:rsidRPr="000A30F7" w:rsidRDefault="00146802" w:rsidP="00146802">
      <w:pPr>
        <w:spacing w:line="257" w:lineRule="auto"/>
        <w:rPr>
          <w:rFonts w:eastAsia="Calibri" w:cstheme="minorHAnsi"/>
          <w:lang w:val="en"/>
        </w:rPr>
      </w:pPr>
      <w:r w:rsidRPr="000A30F7">
        <w:rPr>
          <w:rFonts w:eastAsia="Calibri" w:cstheme="minorHAnsi"/>
        </w:rPr>
        <w:t xml:space="preserve">According to </w:t>
      </w:r>
      <w:r w:rsidR="00872AEA" w:rsidRPr="000A30F7">
        <w:rPr>
          <w:rFonts w:eastAsia="Calibri" w:cstheme="minorHAnsi"/>
        </w:rPr>
        <w:t xml:space="preserve">the government response to </w:t>
      </w:r>
      <w:r w:rsidRPr="000A30F7">
        <w:rPr>
          <w:rFonts w:eastAsia="Calibri" w:cstheme="minorHAnsi"/>
        </w:rPr>
        <w:t xml:space="preserve">LAI requests, in August 2022, the Genetic Heritage Department of the Ministry of the Environment had 21 professionals working on the operation of the ABS law. As for IBAMA’s ABS capacity building program, </w:t>
      </w:r>
      <w:r w:rsidRPr="000A30F7">
        <w:rPr>
          <w:rFonts w:eastAsia="Calibri" w:cstheme="minorHAnsi"/>
          <w:lang w:val="en"/>
        </w:rPr>
        <w:t>41 public servants attended the course and 27 of them were law enforcement agents.</w:t>
      </w:r>
    </w:p>
    <w:p w14:paraId="5DA8FA0D" w14:textId="77777777" w:rsidR="00C42710" w:rsidRDefault="00C42710" w:rsidP="00146802">
      <w:pPr>
        <w:spacing w:line="257" w:lineRule="auto"/>
        <w:rPr>
          <w:rFonts w:ascii="Calibri" w:eastAsia="Calibri" w:hAnsi="Calibri" w:cs="Calibri"/>
          <w:lang w:val="en"/>
        </w:rPr>
      </w:pPr>
    </w:p>
    <w:p w14:paraId="4EFFF27C" w14:textId="500E27E2" w:rsidR="00271D67" w:rsidRPr="00CC26C1" w:rsidRDefault="00C016D0" w:rsidP="00C016D0">
      <w:pPr>
        <w:pStyle w:val="Heading2"/>
        <w:numPr>
          <w:ilvl w:val="1"/>
          <w:numId w:val="3"/>
        </w:numPr>
        <w:rPr>
          <w:color w:val="0070C0"/>
        </w:rPr>
      </w:pPr>
      <w:r w:rsidRPr="00CC26C1">
        <w:rPr>
          <w:color w:val="0070C0"/>
        </w:rPr>
        <w:t>Cost-</w:t>
      </w:r>
      <w:r w:rsidR="00D20156">
        <w:rPr>
          <w:color w:val="0070C0"/>
        </w:rPr>
        <w:t>B</w:t>
      </w:r>
      <w:r w:rsidRPr="00CC26C1">
        <w:rPr>
          <w:color w:val="0070C0"/>
        </w:rPr>
        <w:t xml:space="preserve">enefit </w:t>
      </w:r>
      <w:r w:rsidR="00D20156">
        <w:rPr>
          <w:color w:val="0070C0"/>
        </w:rPr>
        <w:t>Analysis</w:t>
      </w:r>
      <w:r w:rsidR="00866B79">
        <w:rPr>
          <w:color w:val="0070C0"/>
        </w:rPr>
        <w:t xml:space="preserve"> </w:t>
      </w:r>
      <w:r w:rsidR="00EB13B8">
        <w:rPr>
          <w:color w:val="0070C0"/>
        </w:rPr>
        <w:t xml:space="preserve">of the Brazilian ABS Policy under </w:t>
      </w:r>
      <w:r w:rsidR="00851F2A">
        <w:rPr>
          <w:color w:val="0070C0"/>
        </w:rPr>
        <w:t>Law</w:t>
      </w:r>
      <w:r w:rsidR="00EB13B8">
        <w:rPr>
          <w:color w:val="0070C0"/>
        </w:rPr>
        <w:t xml:space="preserve"> </w:t>
      </w:r>
      <w:r w:rsidR="00EB13B8" w:rsidRPr="000A30F7">
        <w:rPr>
          <w:rFonts w:ascii="Calibri" w:eastAsia="Calibri" w:hAnsi="Calibri" w:cs="Calibri"/>
          <w:color w:val="0070C0"/>
        </w:rPr>
        <w:t>13.123/2015</w:t>
      </w:r>
      <w:r w:rsidR="00271D67" w:rsidRPr="000A30F7">
        <w:rPr>
          <w:color w:val="0070C0"/>
        </w:rPr>
        <w:t xml:space="preserve"> </w:t>
      </w:r>
    </w:p>
    <w:p w14:paraId="64E7EA63" w14:textId="77777777" w:rsidR="00872AEA" w:rsidRDefault="00872AEA" w:rsidP="006871DF">
      <w:pPr>
        <w:spacing w:line="257" w:lineRule="auto"/>
        <w:rPr>
          <w:rFonts w:ascii="Calibri" w:eastAsia="Calibri" w:hAnsi="Calibri" w:cs="Calibri"/>
        </w:rPr>
      </w:pPr>
    </w:p>
    <w:p w14:paraId="64529A66" w14:textId="6146CD11" w:rsidR="00E07F35" w:rsidRPr="000A30F7" w:rsidRDefault="00582F6A" w:rsidP="006871DF">
      <w:pPr>
        <w:spacing w:line="257" w:lineRule="auto"/>
        <w:rPr>
          <w:rFonts w:cstheme="minorHAnsi"/>
        </w:rPr>
      </w:pPr>
      <w:r w:rsidRPr="000A30F7">
        <w:rPr>
          <w:rFonts w:eastAsia="Calibri" w:cstheme="minorHAnsi"/>
        </w:rPr>
        <w:t xml:space="preserve">Table </w:t>
      </w:r>
      <w:r w:rsidR="00EB7FD4" w:rsidRPr="000A30F7">
        <w:rPr>
          <w:rFonts w:eastAsia="Calibri" w:cstheme="minorHAnsi"/>
        </w:rPr>
        <w:t>III</w:t>
      </w:r>
      <w:r w:rsidR="002A7364" w:rsidRPr="000A30F7">
        <w:rPr>
          <w:rFonts w:eastAsia="Calibri" w:cstheme="minorHAnsi"/>
        </w:rPr>
        <w:t xml:space="preserve"> </w:t>
      </w:r>
      <w:r w:rsidR="004A2E24" w:rsidRPr="000A30F7">
        <w:rPr>
          <w:rFonts w:eastAsia="Calibri" w:cstheme="minorHAnsi"/>
        </w:rPr>
        <w:t>compares</w:t>
      </w:r>
      <w:r w:rsidRPr="000A30F7">
        <w:rPr>
          <w:rFonts w:eastAsia="Calibri" w:cstheme="minorHAnsi"/>
        </w:rPr>
        <w:t xml:space="preserve"> the government costs </w:t>
      </w:r>
      <w:r w:rsidR="00E47248" w:rsidRPr="000A30F7">
        <w:rPr>
          <w:rFonts w:eastAsia="Calibri" w:cstheme="minorHAnsi"/>
        </w:rPr>
        <w:t>assessed in this study</w:t>
      </w:r>
      <w:r w:rsidR="004A2E24" w:rsidRPr="000A30F7">
        <w:rPr>
          <w:rFonts w:eastAsia="Calibri" w:cstheme="minorHAnsi"/>
        </w:rPr>
        <w:t xml:space="preserve"> with</w:t>
      </w:r>
      <w:r w:rsidR="0086373C" w:rsidRPr="000A30F7">
        <w:rPr>
          <w:rFonts w:eastAsia="Calibri" w:cstheme="minorHAnsi"/>
        </w:rPr>
        <w:t xml:space="preserve"> </w:t>
      </w:r>
      <w:r w:rsidR="00EB7FD4" w:rsidRPr="000A30F7">
        <w:rPr>
          <w:rFonts w:cstheme="minorHAnsi"/>
        </w:rPr>
        <w:t xml:space="preserve">the </w:t>
      </w:r>
      <w:r w:rsidR="0086373C" w:rsidRPr="000A30F7">
        <w:rPr>
          <w:rFonts w:cstheme="minorHAnsi"/>
        </w:rPr>
        <w:t>total value pa</w:t>
      </w:r>
      <w:r w:rsidR="008C4D88" w:rsidRPr="000A30F7">
        <w:rPr>
          <w:rFonts w:cstheme="minorHAnsi"/>
        </w:rPr>
        <w:t>i</w:t>
      </w:r>
      <w:r w:rsidR="0086373C" w:rsidRPr="000A30F7">
        <w:rPr>
          <w:rFonts w:cstheme="minorHAnsi"/>
        </w:rPr>
        <w:t>d by users</w:t>
      </w:r>
      <w:r w:rsidR="008C4D88" w:rsidRPr="000A30F7">
        <w:rPr>
          <w:rFonts w:cstheme="minorHAnsi"/>
        </w:rPr>
        <w:t xml:space="preserve"> to the NBSF </w:t>
      </w:r>
      <w:r w:rsidR="004A2E24" w:rsidRPr="000A30F7">
        <w:rPr>
          <w:rFonts w:cstheme="minorHAnsi"/>
        </w:rPr>
        <w:t xml:space="preserve">added to </w:t>
      </w:r>
      <w:r w:rsidR="008C4D88" w:rsidRPr="000A30F7">
        <w:rPr>
          <w:rFonts w:cstheme="minorHAnsi"/>
        </w:rPr>
        <w:t xml:space="preserve">the </w:t>
      </w:r>
      <w:r w:rsidR="00D0496C" w:rsidRPr="000A30F7">
        <w:rPr>
          <w:rFonts w:cstheme="minorHAnsi"/>
        </w:rPr>
        <w:t xml:space="preserve">total </w:t>
      </w:r>
      <w:r w:rsidR="00626510" w:rsidRPr="000A30F7">
        <w:rPr>
          <w:rFonts w:cstheme="minorHAnsi"/>
        </w:rPr>
        <w:t xml:space="preserve">contracted </w:t>
      </w:r>
      <w:r w:rsidR="008C4D88" w:rsidRPr="000A30F7">
        <w:rPr>
          <w:rFonts w:cstheme="minorHAnsi"/>
        </w:rPr>
        <w:t xml:space="preserve">value </w:t>
      </w:r>
      <w:r w:rsidR="00D0496C" w:rsidRPr="000A30F7">
        <w:rPr>
          <w:rFonts w:cstheme="minorHAnsi"/>
        </w:rPr>
        <w:t xml:space="preserve">of </w:t>
      </w:r>
      <w:r w:rsidR="002961A2" w:rsidRPr="000A30F7">
        <w:rPr>
          <w:rFonts w:cstheme="minorHAnsi"/>
        </w:rPr>
        <w:t>non-monetary benefit-sharing projects</w:t>
      </w:r>
      <w:r w:rsidR="00626510" w:rsidRPr="000A30F7">
        <w:rPr>
          <w:rFonts w:cstheme="minorHAnsi"/>
        </w:rPr>
        <w:t xml:space="preserve">, both </w:t>
      </w:r>
      <w:r w:rsidR="00C53388" w:rsidRPr="000A30F7">
        <w:rPr>
          <w:rFonts w:cstheme="minorHAnsi"/>
        </w:rPr>
        <w:t>between users</w:t>
      </w:r>
      <w:r w:rsidR="003660CA" w:rsidRPr="000A30F7">
        <w:rPr>
          <w:rFonts w:cstheme="minorHAnsi"/>
        </w:rPr>
        <w:t>-Union</w:t>
      </w:r>
      <w:r w:rsidR="00626510" w:rsidRPr="000A30F7">
        <w:rPr>
          <w:rFonts w:cstheme="minorHAnsi"/>
        </w:rPr>
        <w:t xml:space="preserve"> and </w:t>
      </w:r>
      <w:r w:rsidR="003660CA" w:rsidRPr="000A30F7">
        <w:rPr>
          <w:rFonts w:cstheme="minorHAnsi"/>
        </w:rPr>
        <w:t>users-p</w:t>
      </w:r>
      <w:r w:rsidR="00626510" w:rsidRPr="000A30F7">
        <w:rPr>
          <w:rFonts w:cstheme="minorHAnsi"/>
        </w:rPr>
        <w:t>roviders.</w:t>
      </w:r>
    </w:p>
    <w:p w14:paraId="38665AA6" w14:textId="30920250" w:rsidR="000A30F7" w:rsidRDefault="00275CDE" w:rsidP="000A30F7">
      <w:pPr>
        <w:spacing w:line="257" w:lineRule="auto"/>
        <w:rPr>
          <w:rFonts w:ascii="Calibri" w:eastAsia="Calibri" w:hAnsi="Calibri" w:cs="Calibri"/>
        </w:rPr>
      </w:pPr>
      <w:r w:rsidRPr="000A30F7">
        <w:rPr>
          <w:rFonts w:eastAsia="Calibri" w:cstheme="minorHAnsi"/>
          <w:b/>
          <w:bCs/>
          <w:i/>
          <w:iCs/>
        </w:rPr>
        <w:t>Table III.</w:t>
      </w:r>
      <w:r w:rsidRPr="000A30F7">
        <w:rPr>
          <w:rFonts w:eastAsia="Calibri" w:cstheme="minorHAnsi"/>
          <w:i/>
          <w:iCs/>
        </w:rPr>
        <w:t xml:space="preserve"> </w:t>
      </w:r>
      <w:r w:rsidR="00033E46" w:rsidRPr="000A30F7">
        <w:rPr>
          <w:rFonts w:eastAsia="Calibri" w:cstheme="minorHAnsi"/>
          <w:i/>
          <w:iCs/>
        </w:rPr>
        <w:t xml:space="preserve">CBA </w:t>
      </w:r>
      <w:r w:rsidR="00033E46" w:rsidRPr="000A30F7">
        <w:rPr>
          <w:rFonts w:cstheme="minorHAnsi"/>
          <w:i/>
          <w:iCs/>
        </w:rPr>
        <w:t xml:space="preserve">of </w:t>
      </w:r>
      <w:r w:rsidR="00BF3DF8" w:rsidRPr="000A30F7">
        <w:rPr>
          <w:rFonts w:cstheme="minorHAnsi"/>
          <w:i/>
          <w:iCs/>
        </w:rPr>
        <w:t xml:space="preserve">the Brazilian ABS policy instituted by </w:t>
      </w:r>
      <w:r w:rsidR="00033E46" w:rsidRPr="000A30F7">
        <w:rPr>
          <w:rFonts w:cstheme="minorHAnsi"/>
          <w:i/>
          <w:iCs/>
        </w:rPr>
        <w:t>Law 13,123/2015</w:t>
      </w:r>
      <w:r w:rsidR="009372B8" w:rsidRPr="000A30F7">
        <w:rPr>
          <w:rFonts w:cstheme="minorHAnsi"/>
          <w:i/>
          <w:iCs/>
        </w:rPr>
        <w:t xml:space="preserve"> </w:t>
      </w:r>
      <w:r w:rsidR="000125FA" w:rsidRPr="000A30F7">
        <w:rPr>
          <w:rFonts w:eastAsia="Calibri" w:cstheme="minorHAnsi"/>
          <w:i/>
          <w:iCs/>
        </w:rPr>
        <w:t xml:space="preserve">from January </w:t>
      </w:r>
      <w:r w:rsidR="00365500" w:rsidRPr="000A30F7">
        <w:rPr>
          <w:rFonts w:eastAsia="Calibri" w:cstheme="minorHAnsi"/>
          <w:i/>
          <w:iCs/>
        </w:rPr>
        <w:t>2016 to</w:t>
      </w:r>
      <w:r w:rsidR="007E35FC" w:rsidRPr="000A30F7">
        <w:rPr>
          <w:rFonts w:eastAsia="Calibri" w:cstheme="minorHAnsi"/>
          <w:i/>
          <w:iCs/>
        </w:rPr>
        <w:t xml:space="preserve"> August 2022</w:t>
      </w:r>
      <w:r w:rsidR="000A30F7">
        <w:rPr>
          <w:rFonts w:eastAsia="Calibri" w:cstheme="minorHAnsi"/>
          <w:i/>
          <w:iCs/>
        </w:rPr>
        <w:t>.</w:t>
      </w:r>
      <w:r w:rsidR="000A30F7" w:rsidRPr="000A30F7">
        <w:rPr>
          <w:rFonts w:ascii="Calibri" w:eastAsia="Calibri" w:hAnsi="Calibri" w:cs="Calibri"/>
          <w:i/>
          <w:iCs/>
        </w:rPr>
        <w:t xml:space="preserve"> </w:t>
      </w:r>
      <w:r w:rsidR="000A30F7">
        <w:rPr>
          <w:rFonts w:ascii="Calibri" w:eastAsia="Calibri" w:hAnsi="Calibri" w:cs="Calibri"/>
          <w:i/>
          <w:iCs/>
        </w:rPr>
        <w:t>Source: SisGen (LAI) and CBD</w:t>
      </w:r>
    </w:p>
    <w:tbl>
      <w:tblPr>
        <w:tblStyle w:val="TableGrid"/>
        <w:tblW w:w="8671" w:type="dxa"/>
        <w:jc w:val="center"/>
        <w:tblLook w:val="04A0" w:firstRow="1" w:lastRow="0" w:firstColumn="1" w:lastColumn="0" w:noHBand="0" w:noVBand="1"/>
      </w:tblPr>
      <w:tblGrid>
        <w:gridCol w:w="2150"/>
        <w:gridCol w:w="1701"/>
        <w:gridCol w:w="1574"/>
        <w:gridCol w:w="1828"/>
        <w:gridCol w:w="1418"/>
      </w:tblGrid>
      <w:tr w:rsidR="00020DD1" w:rsidRPr="00CF6294" w14:paraId="042C7EB5" w14:textId="77777777" w:rsidTr="007B2BD4">
        <w:trPr>
          <w:jc w:val="center"/>
        </w:trPr>
        <w:tc>
          <w:tcPr>
            <w:tcW w:w="215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4102B9E7" w14:textId="72140C85" w:rsidR="00020DD1" w:rsidRPr="00CF6294" w:rsidRDefault="00020DD1" w:rsidP="00557E91">
            <w:pPr>
              <w:jc w:val="center"/>
              <w:rPr>
                <w:rFonts w:cstheme="minorHAnsi"/>
                <w:color w:val="FFFFFF" w:themeColor="background1"/>
                <w:sz w:val="20"/>
                <w:szCs w:val="20"/>
              </w:rPr>
            </w:pPr>
            <w:bookmarkStart w:id="7" w:name="_Hlk120957227"/>
            <w:r w:rsidRPr="00CF6294">
              <w:rPr>
                <w:rFonts w:cstheme="minorHAnsi"/>
                <w:color w:val="FFFFFF" w:themeColor="background1"/>
                <w:sz w:val="20"/>
                <w:szCs w:val="20"/>
              </w:rPr>
              <w:t>Analysis</w:t>
            </w:r>
          </w:p>
          <w:p w14:paraId="169F8385" w14:textId="4DEE10AE"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Domain</w:t>
            </w:r>
          </w:p>
        </w:tc>
        <w:tc>
          <w:tcPr>
            <w:tcW w:w="1701"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13AC80BB"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Costs*</w:t>
            </w:r>
            <w:r w:rsidRPr="00CF6294">
              <w:rPr>
                <w:rFonts w:cstheme="minorHAnsi"/>
                <w:color w:val="FFFFFF" w:themeColor="background1"/>
                <w:sz w:val="20"/>
                <w:szCs w:val="20"/>
                <w:vertAlign w:val="superscript"/>
              </w:rPr>
              <w:t>1</w:t>
            </w:r>
          </w:p>
          <w:p w14:paraId="54113094"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[X]</w:t>
            </w:r>
          </w:p>
        </w:tc>
        <w:tc>
          <w:tcPr>
            <w:tcW w:w="157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2C887EF7" w14:textId="77777777" w:rsidR="00020DD1" w:rsidRPr="00CF6294" w:rsidRDefault="00020DD1" w:rsidP="00557E91">
            <w:pPr>
              <w:jc w:val="center"/>
              <w:rPr>
                <w:rFonts w:cstheme="minorHAnsi"/>
                <w:color w:val="FFFFFF" w:themeColor="background1"/>
                <w:sz w:val="20"/>
                <w:szCs w:val="20"/>
                <w:vertAlign w:val="superscript"/>
              </w:rPr>
            </w:pPr>
            <w:r w:rsidRPr="00CF6294">
              <w:rPr>
                <w:rFonts w:cstheme="minorHAnsi"/>
                <w:color w:val="FFFFFF" w:themeColor="background1"/>
                <w:sz w:val="20"/>
                <w:szCs w:val="20"/>
              </w:rPr>
              <w:t>Benefits*</w:t>
            </w:r>
            <w:r w:rsidRPr="00CF6294">
              <w:rPr>
                <w:rFonts w:cstheme="minorHAnsi"/>
                <w:color w:val="FFFFFF" w:themeColor="background1"/>
                <w:sz w:val="20"/>
                <w:szCs w:val="20"/>
                <w:vertAlign w:val="superscript"/>
              </w:rPr>
              <w:t>2</w:t>
            </w:r>
          </w:p>
          <w:p w14:paraId="56FA7A1E" w14:textId="41CB4131"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[Y]</w:t>
            </w:r>
          </w:p>
        </w:tc>
        <w:tc>
          <w:tcPr>
            <w:tcW w:w="182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622BB7B3"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Benefit – Cost</w:t>
            </w:r>
          </w:p>
          <w:p w14:paraId="40C3B35A"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Balance</w:t>
            </w:r>
          </w:p>
          <w:p w14:paraId="407E48D6"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[Y] – [X]</w:t>
            </w:r>
          </w:p>
        </w:tc>
        <w:tc>
          <w:tcPr>
            <w:tcW w:w="141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47BD08CB" w14:textId="38FF90C3"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Benefit – Cost</w:t>
            </w:r>
          </w:p>
          <w:p w14:paraId="3A071F6D" w14:textId="77777777"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Ratio</w:t>
            </w:r>
          </w:p>
          <w:p w14:paraId="390CE850" w14:textId="4108936E" w:rsidR="00020DD1" w:rsidRPr="00CF6294" w:rsidRDefault="00020DD1" w:rsidP="00557E91">
            <w:pPr>
              <w:jc w:val="center"/>
              <w:rPr>
                <w:rFonts w:cstheme="minorHAnsi"/>
                <w:color w:val="FFFFFF" w:themeColor="background1"/>
                <w:sz w:val="20"/>
                <w:szCs w:val="20"/>
              </w:rPr>
            </w:pPr>
            <w:r w:rsidRPr="00CF6294">
              <w:rPr>
                <w:rFonts w:cstheme="minorHAnsi"/>
                <w:color w:val="FFFFFF" w:themeColor="background1"/>
                <w:sz w:val="20"/>
                <w:szCs w:val="20"/>
              </w:rPr>
              <w:t>[Y]/[X]</w:t>
            </w:r>
          </w:p>
        </w:tc>
      </w:tr>
      <w:tr w:rsidR="00020DD1" w:rsidRPr="00CF6294" w14:paraId="42651963" w14:textId="77777777" w:rsidTr="000A30F7">
        <w:trPr>
          <w:jc w:val="center"/>
        </w:trPr>
        <w:tc>
          <w:tcPr>
            <w:tcW w:w="2150" w:type="dxa"/>
            <w:tcBorders>
              <w:top w:val="single" w:sz="18" w:space="0" w:color="FFFFFF" w:themeColor="background1"/>
              <w:left w:val="nil"/>
              <w:bottom w:val="single" w:sz="2" w:space="0" w:color="0070C0"/>
              <w:right w:val="nil"/>
            </w:tcBorders>
            <w:vAlign w:val="center"/>
          </w:tcPr>
          <w:p w14:paraId="3A058A3F" w14:textId="77777777" w:rsidR="00020DD1" w:rsidRPr="00CF6294" w:rsidRDefault="00020DD1" w:rsidP="003A4AC2">
            <w:pPr>
              <w:rPr>
                <w:rFonts w:cstheme="minorHAnsi"/>
                <w:sz w:val="20"/>
                <w:szCs w:val="20"/>
              </w:rPr>
            </w:pPr>
            <w:r w:rsidRPr="00CF6294">
              <w:rPr>
                <w:rFonts w:eastAsia="Calibri" w:cstheme="minorHAnsi"/>
                <w:sz w:val="20"/>
                <w:szCs w:val="20"/>
              </w:rPr>
              <w:t>Operational costs</w:t>
            </w:r>
          </w:p>
        </w:tc>
        <w:tc>
          <w:tcPr>
            <w:tcW w:w="1701" w:type="dxa"/>
            <w:tcBorders>
              <w:top w:val="single" w:sz="18" w:space="0" w:color="FFFFFF" w:themeColor="background1"/>
              <w:left w:val="nil"/>
              <w:bottom w:val="single" w:sz="2" w:space="0" w:color="0070C0"/>
              <w:right w:val="nil"/>
            </w:tcBorders>
            <w:vAlign w:val="center"/>
          </w:tcPr>
          <w:p w14:paraId="019557FA" w14:textId="77777777" w:rsidR="00020DD1" w:rsidRPr="00CF6294" w:rsidRDefault="00020DD1" w:rsidP="003A4AC2">
            <w:pPr>
              <w:jc w:val="right"/>
              <w:rPr>
                <w:rFonts w:eastAsia="Calibri" w:cstheme="minorHAnsi"/>
                <w:sz w:val="20"/>
                <w:szCs w:val="20"/>
              </w:rPr>
            </w:pPr>
            <w:r w:rsidRPr="00CF6294">
              <w:rPr>
                <w:rFonts w:eastAsia="Calibri" w:cstheme="minorHAnsi"/>
                <w:color w:val="000000" w:themeColor="text1"/>
                <w:sz w:val="20"/>
                <w:szCs w:val="20"/>
              </w:rPr>
              <w:t>R$ 25,339,041.17</w:t>
            </w:r>
          </w:p>
        </w:tc>
        <w:tc>
          <w:tcPr>
            <w:tcW w:w="1574" w:type="dxa"/>
            <w:tcBorders>
              <w:top w:val="single" w:sz="18" w:space="0" w:color="FFFFFF" w:themeColor="background1"/>
              <w:left w:val="nil"/>
              <w:bottom w:val="single" w:sz="2" w:space="0" w:color="0070C0"/>
              <w:right w:val="nil"/>
            </w:tcBorders>
            <w:vAlign w:val="center"/>
          </w:tcPr>
          <w:p w14:paraId="595CB110" w14:textId="77777777" w:rsidR="00020DD1" w:rsidRPr="00CF6294" w:rsidRDefault="00020DD1" w:rsidP="003A4AC2">
            <w:pPr>
              <w:jc w:val="right"/>
              <w:rPr>
                <w:rFonts w:cstheme="minorHAnsi"/>
                <w:sz w:val="20"/>
                <w:szCs w:val="20"/>
              </w:rPr>
            </w:pPr>
            <w:r w:rsidRPr="00CF6294">
              <w:rPr>
                <w:rFonts w:cstheme="minorHAnsi"/>
                <w:sz w:val="20"/>
                <w:szCs w:val="20"/>
              </w:rPr>
              <w:t>R$ 6,633,232.58</w:t>
            </w:r>
          </w:p>
        </w:tc>
        <w:tc>
          <w:tcPr>
            <w:tcW w:w="1828" w:type="dxa"/>
            <w:tcBorders>
              <w:top w:val="single" w:sz="18" w:space="0" w:color="FFFFFF" w:themeColor="background1"/>
              <w:left w:val="nil"/>
              <w:bottom w:val="single" w:sz="2" w:space="0" w:color="0070C0"/>
              <w:right w:val="nil"/>
            </w:tcBorders>
            <w:vAlign w:val="center"/>
          </w:tcPr>
          <w:p w14:paraId="5401A933" w14:textId="77777777" w:rsidR="00020DD1" w:rsidRPr="00CF6294" w:rsidRDefault="00020DD1" w:rsidP="003A4AC2">
            <w:pPr>
              <w:jc w:val="right"/>
              <w:rPr>
                <w:rFonts w:cstheme="minorHAnsi"/>
                <w:sz w:val="20"/>
                <w:szCs w:val="20"/>
              </w:rPr>
            </w:pPr>
            <w:r w:rsidRPr="00CF6294">
              <w:rPr>
                <w:rFonts w:cstheme="minorHAnsi"/>
                <w:sz w:val="20"/>
                <w:szCs w:val="20"/>
              </w:rPr>
              <w:t>(R$ 18,705,808.59)</w:t>
            </w:r>
          </w:p>
        </w:tc>
        <w:tc>
          <w:tcPr>
            <w:tcW w:w="1418" w:type="dxa"/>
            <w:tcBorders>
              <w:top w:val="single" w:sz="18" w:space="0" w:color="FFFFFF" w:themeColor="background1"/>
              <w:left w:val="nil"/>
              <w:bottom w:val="single" w:sz="2" w:space="0" w:color="0070C0"/>
              <w:right w:val="nil"/>
            </w:tcBorders>
            <w:vAlign w:val="center"/>
          </w:tcPr>
          <w:p w14:paraId="5EC4EE87" w14:textId="241B9567" w:rsidR="00020DD1" w:rsidRPr="00CF6294" w:rsidRDefault="00020DD1" w:rsidP="000A30F7">
            <w:pPr>
              <w:jc w:val="center"/>
              <w:rPr>
                <w:rFonts w:cstheme="minorHAnsi"/>
                <w:sz w:val="20"/>
                <w:szCs w:val="20"/>
              </w:rPr>
            </w:pPr>
            <w:r w:rsidRPr="00CF6294">
              <w:rPr>
                <w:rFonts w:cstheme="minorHAnsi"/>
                <w:sz w:val="20"/>
                <w:szCs w:val="20"/>
              </w:rPr>
              <w:t>1/3.8</w:t>
            </w:r>
          </w:p>
        </w:tc>
      </w:tr>
      <w:tr w:rsidR="00020DD1" w:rsidRPr="00CF6294" w14:paraId="6151A130" w14:textId="77777777" w:rsidTr="000A30F7">
        <w:trPr>
          <w:jc w:val="center"/>
        </w:trPr>
        <w:tc>
          <w:tcPr>
            <w:tcW w:w="2150" w:type="dxa"/>
            <w:tcBorders>
              <w:top w:val="single" w:sz="2" w:space="0" w:color="0070C0"/>
              <w:left w:val="nil"/>
              <w:bottom w:val="single" w:sz="2" w:space="0" w:color="0070C0"/>
              <w:right w:val="nil"/>
            </w:tcBorders>
          </w:tcPr>
          <w:p w14:paraId="3B8BCAA6" w14:textId="77777777" w:rsidR="00020DD1" w:rsidRPr="00CF6294" w:rsidRDefault="00020DD1" w:rsidP="003A4AC2">
            <w:pPr>
              <w:rPr>
                <w:rFonts w:eastAsia="Calibri" w:cstheme="minorHAnsi"/>
                <w:sz w:val="20"/>
                <w:szCs w:val="20"/>
              </w:rPr>
            </w:pPr>
            <w:r w:rsidRPr="00CF6294">
              <w:rPr>
                <w:rFonts w:eastAsia="Calibri" w:cstheme="minorHAnsi"/>
                <w:sz w:val="20"/>
                <w:szCs w:val="20"/>
              </w:rPr>
              <w:t xml:space="preserve">Operational costs + </w:t>
            </w:r>
          </w:p>
          <w:p w14:paraId="7CEA1A6B" w14:textId="77777777" w:rsidR="00020DD1" w:rsidRPr="00CF6294" w:rsidRDefault="00020DD1" w:rsidP="003A4AC2">
            <w:pPr>
              <w:rPr>
                <w:rFonts w:eastAsia="Calibri" w:cstheme="minorHAnsi"/>
                <w:sz w:val="20"/>
                <w:szCs w:val="20"/>
              </w:rPr>
            </w:pPr>
            <w:r w:rsidRPr="00CF6294">
              <w:rPr>
                <w:rFonts w:eastAsia="Calibri" w:cstheme="minorHAnsi"/>
                <w:sz w:val="20"/>
                <w:szCs w:val="20"/>
              </w:rPr>
              <w:t xml:space="preserve">CDB paid contributions </w:t>
            </w:r>
          </w:p>
          <w:p w14:paraId="3C046C17" w14:textId="77777777" w:rsidR="00020DD1" w:rsidRPr="00CF6294" w:rsidRDefault="00020DD1" w:rsidP="003A4AC2">
            <w:pPr>
              <w:rPr>
                <w:rFonts w:eastAsia="Calibri" w:cstheme="minorHAnsi"/>
                <w:sz w:val="20"/>
                <w:szCs w:val="20"/>
              </w:rPr>
            </w:pPr>
            <w:r w:rsidRPr="00CF6294">
              <w:rPr>
                <w:rFonts w:eastAsia="Calibri" w:cstheme="minorHAnsi"/>
                <w:sz w:val="20"/>
                <w:szCs w:val="20"/>
              </w:rPr>
              <w:t xml:space="preserve">(2016-2021) </w:t>
            </w:r>
          </w:p>
        </w:tc>
        <w:tc>
          <w:tcPr>
            <w:tcW w:w="1701" w:type="dxa"/>
            <w:tcBorders>
              <w:top w:val="single" w:sz="2" w:space="0" w:color="0070C0"/>
              <w:left w:val="nil"/>
              <w:bottom w:val="single" w:sz="2" w:space="0" w:color="0070C0"/>
              <w:right w:val="nil"/>
            </w:tcBorders>
            <w:vAlign w:val="center"/>
          </w:tcPr>
          <w:p w14:paraId="10B37384" w14:textId="77777777" w:rsidR="00020DD1" w:rsidRPr="00CF6294" w:rsidRDefault="00020DD1" w:rsidP="003A4AC2">
            <w:pPr>
              <w:jc w:val="right"/>
              <w:rPr>
                <w:rFonts w:eastAsia="Calibri" w:cstheme="minorHAnsi"/>
                <w:sz w:val="20"/>
                <w:szCs w:val="20"/>
              </w:rPr>
            </w:pPr>
            <w:r w:rsidRPr="00CF6294">
              <w:rPr>
                <w:rFonts w:eastAsia="Calibri" w:cstheme="minorHAnsi"/>
                <w:sz w:val="20"/>
                <w:szCs w:val="20"/>
              </w:rPr>
              <w:t xml:space="preserve">R$ 37,301,740.45 </w:t>
            </w:r>
          </w:p>
        </w:tc>
        <w:tc>
          <w:tcPr>
            <w:tcW w:w="1574" w:type="dxa"/>
            <w:tcBorders>
              <w:top w:val="single" w:sz="2" w:space="0" w:color="0070C0"/>
              <w:left w:val="nil"/>
              <w:bottom w:val="single" w:sz="2" w:space="0" w:color="0070C0"/>
              <w:right w:val="nil"/>
            </w:tcBorders>
            <w:vAlign w:val="center"/>
          </w:tcPr>
          <w:p w14:paraId="4F635B87" w14:textId="77777777" w:rsidR="00020DD1" w:rsidRPr="00CF6294" w:rsidRDefault="00020DD1" w:rsidP="003A4AC2">
            <w:pPr>
              <w:jc w:val="right"/>
              <w:rPr>
                <w:rFonts w:cstheme="minorHAnsi"/>
                <w:sz w:val="20"/>
                <w:szCs w:val="20"/>
              </w:rPr>
            </w:pPr>
            <w:r w:rsidRPr="00CF6294">
              <w:rPr>
                <w:rFonts w:cstheme="minorHAnsi"/>
                <w:sz w:val="20"/>
                <w:szCs w:val="20"/>
              </w:rPr>
              <w:t>R$ 6,633,232.58</w:t>
            </w:r>
          </w:p>
        </w:tc>
        <w:tc>
          <w:tcPr>
            <w:tcW w:w="1828" w:type="dxa"/>
            <w:tcBorders>
              <w:top w:val="single" w:sz="2" w:space="0" w:color="0070C0"/>
              <w:left w:val="nil"/>
              <w:bottom w:val="single" w:sz="2" w:space="0" w:color="0070C0"/>
              <w:right w:val="nil"/>
            </w:tcBorders>
            <w:vAlign w:val="center"/>
          </w:tcPr>
          <w:p w14:paraId="31BB3C4F" w14:textId="77777777" w:rsidR="00020DD1" w:rsidRPr="00CF6294" w:rsidRDefault="00020DD1" w:rsidP="003A4AC2">
            <w:pPr>
              <w:jc w:val="right"/>
              <w:rPr>
                <w:rFonts w:cstheme="minorHAnsi"/>
                <w:sz w:val="20"/>
                <w:szCs w:val="20"/>
              </w:rPr>
            </w:pPr>
            <w:r w:rsidRPr="00CF6294">
              <w:rPr>
                <w:rFonts w:cstheme="minorHAnsi"/>
                <w:sz w:val="20"/>
                <w:szCs w:val="20"/>
              </w:rPr>
              <w:t>(R$ 30,668,507.87)</w:t>
            </w:r>
          </w:p>
        </w:tc>
        <w:tc>
          <w:tcPr>
            <w:tcW w:w="1418" w:type="dxa"/>
            <w:tcBorders>
              <w:top w:val="single" w:sz="2" w:space="0" w:color="0070C0"/>
              <w:left w:val="nil"/>
              <w:bottom w:val="single" w:sz="2" w:space="0" w:color="0070C0"/>
              <w:right w:val="nil"/>
            </w:tcBorders>
            <w:vAlign w:val="center"/>
          </w:tcPr>
          <w:p w14:paraId="77057C9C" w14:textId="06DF6E8B" w:rsidR="00020DD1" w:rsidRPr="00CF6294" w:rsidRDefault="00020DD1" w:rsidP="000A30F7">
            <w:pPr>
              <w:jc w:val="center"/>
              <w:rPr>
                <w:rFonts w:cstheme="minorHAnsi"/>
                <w:sz w:val="20"/>
                <w:szCs w:val="20"/>
              </w:rPr>
            </w:pPr>
            <w:r w:rsidRPr="00CF6294">
              <w:rPr>
                <w:rFonts w:cstheme="minorHAnsi"/>
                <w:sz w:val="20"/>
                <w:szCs w:val="20"/>
              </w:rPr>
              <w:t>1/5.6</w:t>
            </w:r>
          </w:p>
        </w:tc>
      </w:tr>
      <w:tr w:rsidR="00020DD1" w:rsidRPr="00CF6294" w14:paraId="5F072F4F" w14:textId="77777777" w:rsidTr="007B2BD4">
        <w:trPr>
          <w:jc w:val="center"/>
        </w:trPr>
        <w:tc>
          <w:tcPr>
            <w:tcW w:w="2150" w:type="dxa"/>
            <w:tcBorders>
              <w:top w:val="single" w:sz="2" w:space="0" w:color="0070C0"/>
              <w:left w:val="nil"/>
              <w:bottom w:val="single" w:sz="2" w:space="0" w:color="0070C0"/>
              <w:right w:val="nil"/>
            </w:tcBorders>
          </w:tcPr>
          <w:p w14:paraId="13A1AA5F" w14:textId="77777777" w:rsidR="00020DD1" w:rsidRPr="00CF6294" w:rsidRDefault="00020DD1" w:rsidP="003A4AC2">
            <w:pPr>
              <w:rPr>
                <w:rFonts w:eastAsia="Calibri" w:cstheme="minorHAnsi"/>
                <w:sz w:val="20"/>
                <w:szCs w:val="20"/>
              </w:rPr>
            </w:pPr>
            <w:r w:rsidRPr="00CF6294">
              <w:rPr>
                <w:rFonts w:eastAsia="Calibri" w:cstheme="minorHAnsi"/>
                <w:sz w:val="20"/>
                <w:szCs w:val="20"/>
              </w:rPr>
              <w:t xml:space="preserve">Operational costs  </w:t>
            </w:r>
          </w:p>
          <w:p w14:paraId="3C11C29F" w14:textId="77777777" w:rsidR="00020DD1" w:rsidRPr="00CF6294" w:rsidRDefault="00020DD1" w:rsidP="003A4AC2">
            <w:pPr>
              <w:rPr>
                <w:rFonts w:eastAsia="Calibri" w:cstheme="minorHAnsi"/>
                <w:sz w:val="20"/>
                <w:szCs w:val="20"/>
              </w:rPr>
            </w:pPr>
            <w:r w:rsidRPr="00CF6294">
              <w:rPr>
                <w:rFonts w:eastAsia="Calibri" w:cstheme="minorHAnsi"/>
                <w:sz w:val="20"/>
                <w:szCs w:val="20"/>
              </w:rPr>
              <w:t>+ CDB paid contributions (2016-2021)</w:t>
            </w:r>
          </w:p>
          <w:p w14:paraId="10642BE0" w14:textId="4148E6CE" w:rsidR="00020DD1" w:rsidRPr="00CF6294" w:rsidRDefault="00020DD1" w:rsidP="003A4AC2">
            <w:pPr>
              <w:rPr>
                <w:rFonts w:eastAsia="Calibri" w:cstheme="minorHAnsi"/>
                <w:sz w:val="20"/>
                <w:szCs w:val="20"/>
                <w:vertAlign w:val="superscript"/>
              </w:rPr>
            </w:pPr>
            <w:r w:rsidRPr="00CF6294">
              <w:rPr>
                <w:rFonts w:eastAsia="Calibri" w:cstheme="minorHAnsi"/>
                <w:sz w:val="20"/>
                <w:szCs w:val="20"/>
              </w:rPr>
              <w:t>+ (CBD and NP*</w:t>
            </w:r>
            <w:r w:rsidR="00640C6B" w:rsidRPr="00CF6294">
              <w:rPr>
                <w:rFonts w:eastAsia="Calibri" w:cstheme="minorHAnsi"/>
                <w:sz w:val="20"/>
                <w:szCs w:val="20"/>
                <w:vertAlign w:val="superscript"/>
              </w:rPr>
              <w:t>3</w:t>
            </w:r>
            <w:r w:rsidRPr="00CF6294">
              <w:rPr>
                <w:rFonts w:eastAsia="Calibri" w:cstheme="minorHAnsi"/>
                <w:sz w:val="20"/>
                <w:szCs w:val="20"/>
              </w:rPr>
              <w:t xml:space="preserve">) open balance (2022) </w:t>
            </w:r>
          </w:p>
        </w:tc>
        <w:tc>
          <w:tcPr>
            <w:tcW w:w="1701" w:type="dxa"/>
            <w:tcBorders>
              <w:top w:val="single" w:sz="2" w:space="0" w:color="0070C0"/>
              <w:left w:val="nil"/>
              <w:bottom w:val="single" w:sz="2" w:space="0" w:color="0070C0"/>
              <w:right w:val="nil"/>
            </w:tcBorders>
            <w:vAlign w:val="center"/>
          </w:tcPr>
          <w:p w14:paraId="6DF3E93E" w14:textId="77777777" w:rsidR="00020DD1" w:rsidRPr="00CF6294" w:rsidRDefault="00020DD1" w:rsidP="003A4AC2">
            <w:pPr>
              <w:jc w:val="right"/>
              <w:rPr>
                <w:rFonts w:cstheme="minorHAnsi"/>
                <w:sz w:val="20"/>
                <w:szCs w:val="20"/>
              </w:rPr>
            </w:pPr>
            <w:r w:rsidRPr="00CF6294">
              <w:rPr>
                <w:rFonts w:eastAsia="Calibri" w:cstheme="minorHAnsi"/>
                <w:color w:val="000000" w:themeColor="text1"/>
                <w:sz w:val="20"/>
                <w:szCs w:val="20"/>
              </w:rPr>
              <w:t>R$ 40,415.214.45</w:t>
            </w:r>
          </w:p>
        </w:tc>
        <w:tc>
          <w:tcPr>
            <w:tcW w:w="1574" w:type="dxa"/>
            <w:tcBorders>
              <w:top w:val="single" w:sz="2" w:space="0" w:color="0070C0"/>
              <w:left w:val="nil"/>
              <w:bottom w:val="single" w:sz="2" w:space="0" w:color="0070C0"/>
              <w:right w:val="nil"/>
            </w:tcBorders>
            <w:vAlign w:val="center"/>
          </w:tcPr>
          <w:p w14:paraId="4147EA8E" w14:textId="77777777" w:rsidR="00020DD1" w:rsidRPr="00CF6294" w:rsidRDefault="00020DD1" w:rsidP="003A4AC2">
            <w:pPr>
              <w:jc w:val="right"/>
              <w:rPr>
                <w:rFonts w:cstheme="minorHAnsi"/>
                <w:sz w:val="20"/>
                <w:szCs w:val="20"/>
              </w:rPr>
            </w:pPr>
            <w:r w:rsidRPr="00CF6294">
              <w:rPr>
                <w:rFonts w:cstheme="minorHAnsi"/>
                <w:sz w:val="20"/>
                <w:szCs w:val="20"/>
              </w:rPr>
              <w:t>R$ 6,633,232.58</w:t>
            </w:r>
          </w:p>
        </w:tc>
        <w:tc>
          <w:tcPr>
            <w:tcW w:w="1828" w:type="dxa"/>
            <w:tcBorders>
              <w:top w:val="single" w:sz="2" w:space="0" w:color="0070C0"/>
              <w:left w:val="nil"/>
              <w:bottom w:val="single" w:sz="2" w:space="0" w:color="0070C0"/>
              <w:right w:val="nil"/>
            </w:tcBorders>
            <w:vAlign w:val="center"/>
          </w:tcPr>
          <w:p w14:paraId="7EFE2D50" w14:textId="77777777" w:rsidR="00020DD1" w:rsidRPr="00CF6294" w:rsidRDefault="00020DD1" w:rsidP="003A4AC2">
            <w:pPr>
              <w:jc w:val="right"/>
              <w:rPr>
                <w:rFonts w:cstheme="minorHAnsi"/>
                <w:sz w:val="20"/>
                <w:szCs w:val="20"/>
              </w:rPr>
            </w:pPr>
            <w:r w:rsidRPr="00CF6294">
              <w:rPr>
                <w:rFonts w:cstheme="minorHAnsi"/>
                <w:sz w:val="20"/>
                <w:szCs w:val="20"/>
              </w:rPr>
              <w:t>(R$ 33,782,008.87)</w:t>
            </w:r>
          </w:p>
        </w:tc>
        <w:tc>
          <w:tcPr>
            <w:tcW w:w="1418" w:type="dxa"/>
            <w:tcBorders>
              <w:top w:val="single" w:sz="2" w:space="0" w:color="0070C0"/>
              <w:left w:val="nil"/>
              <w:bottom w:val="single" w:sz="2" w:space="0" w:color="0070C0"/>
              <w:right w:val="nil"/>
            </w:tcBorders>
            <w:vAlign w:val="center"/>
          </w:tcPr>
          <w:p w14:paraId="781D4D32" w14:textId="134189AB" w:rsidR="00020DD1" w:rsidRPr="00CF6294" w:rsidRDefault="00020DD1" w:rsidP="000A30F7">
            <w:pPr>
              <w:jc w:val="center"/>
              <w:rPr>
                <w:rFonts w:cstheme="minorHAnsi"/>
                <w:sz w:val="20"/>
                <w:szCs w:val="20"/>
              </w:rPr>
            </w:pPr>
            <w:r w:rsidRPr="00CF6294">
              <w:rPr>
                <w:rFonts w:cstheme="minorHAnsi"/>
                <w:sz w:val="20"/>
                <w:szCs w:val="20"/>
              </w:rPr>
              <w:t>1/6.1</w:t>
            </w:r>
          </w:p>
        </w:tc>
      </w:tr>
    </w:tbl>
    <w:p w14:paraId="076796C9" w14:textId="77777777" w:rsidR="00A46E5B" w:rsidRPr="009B2CD0" w:rsidRDefault="00A46E5B" w:rsidP="0092337F">
      <w:pPr>
        <w:spacing w:after="0"/>
        <w:ind w:left="142"/>
        <w:jc w:val="both"/>
        <w:rPr>
          <w:rFonts w:asciiTheme="majorHAnsi" w:hAnsiTheme="majorHAnsi" w:cstheme="majorHAnsi"/>
          <w:sz w:val="20"/>
          <w:szCs w:val="20"/>
        </w:rPr>
      </w:pPr>
      <w:bookmarkStart w:id="8" w:name="_Hlk120957313"/>
      <w:bookmarkEnd w:id="7"/>
      <w:r w:rsidRPr="009B2CD0">
        <w:rPr>
          <w:rFonts w:asciiTheme="majorHAnsi" w:hAnsiTheme="majorHAnsi" w:cstheme="majorHAnsi"/>
          <w:sz w:val="20"/>
          <w:szCs w:val="20"/>
        </w:rPr>
        <w:t>*</w:t>
      </w:r>
      <w:r w:rsidRPr="009B2CD0">
        <w:rPr>
          <w:rFonts w:asciiTheme="majorHAnsi" w:hAnsiTheme="majorHAnsi" w:cstheme="majorHAnsi"/>
          <w:sz w:val="20"/>
          <w:szCs w:val="20"/>
          <w:vertAlign w:val="superscript"/>
        </w:rPr>
        <w:t>1</w:t>
      </w:r>
      <w:r w:rsidRPr="009B2CD0">
        <w:rPr>
          <w:rFonts w:asciiTheme="majorHAnsi" w:hAnsiTheme="majorHAnsi" w:cstheme="majorHAnsi"/>
          <w:sz w:val="20"/>
          <w:szCs w:val="20"/>
        </w:rPr>
        <w:t xml:space="preserve"> </w:t>
      </w:r>
      <w:r w:rsidRPr="004275A7">
        <w:rPr>
          <w:rFonts w:asciiTheme="majorHAnsi" w:hAnsiTheme="majorHAnsi" w:cstheme="majorHAnsi"/>
          <w:sz w:val="20"/>
          <w:szCs w:val="20"/>
        </w:rPr>
        <w:t xml:space="preserve">Adjusted Value </w:t>
      </w:r>
      <w:r>
        <w:rPr>
          <w:rFonts w:asciiTheme="majorHAnsi" w:hAnsiTheme="majorHAnsi" w:cstheme="majorHAnsi"/>
          <w:sz w:val="20"/>
          <w:szCs w:val="20"/>
        </w:rPr>
        <w:t xml:space="preserve">by </w:t>
      </w:r>
      <w:r w:rsidRPr="009B2CD0">
        <w:rPr>
          <w:rFonts w:asciiTheme="majorHAnsi" w:hAnsiTheme="majorHAnsi" w:cstheme="majorHAnsi"/>
          <w:sz w:val="20"/>
          <w:szCs w:val="20"/>
        </w:rPr>
        <w:t>IPCA-E index Aug</w:t>
      </w:r>
      <w:r>
        <w:rPr>
          <w:rFonts w:asciiTheme="majorHAnsi" w:hAnsiTheme="majorHAnsi" w:cstheme="majorHAnsi"/>
          <w:sz w:val="20"/>
          <w:szCs w:val="20"/>
        </w:rPr>
        <w:t xml:space="preserve">ust 31, </w:t>
      </w:r>
      <w:r w:rsidRPr="009B2CD0">
        <w:rPr>
          <w:rFonts w:asciiTheme="majorHAnsi" w:hAnsiTheme="majorHAnsi" w:cstheme="majorHAnsi"/>
          <w:sz w:val="20"/>
          <w:szCs w:val="20"/>
        </w:rPr>
        <w:t>2022</w:t>
      </w:r>
    </w:p>
    <w:p w14:paraId="2C105C69" w14:textId="30D227D8" w:rsidR="00A46E5B" w:rsidRDefault="00A46E5B" w:rsidP="0092337F">
      <w:pPr>
        <w:spacing w:after="0"/>
        <w:ind w:left="142"/>
        <w:jc w:val="both"/>
        <w:rPr>
          <w:rFonts w:asciiTheme="majorHAnsi" w:hAnsiTheme="majorHAnsi" w:cstheme="majorHAnsi"/>
          <w:sz w:val="20"/>
          <w:szCs w:val="20"/>
        </w:rPr>
      </w:pPr>
      <w:r>
        <w:rPr>
          <w:rFonts w:asciiTheme="majorHAnsi" w:hAnsiTheme="majorHAnsi" w:cstheme="majorHAnsi"/>
          <w:sz w:val="20"/>
          <w:szCs w:val="20"/>
        </w:rPr>
        <w:t>*</w:t>
      </w:r>
      <w:r w:rsidRPr="009B2CD0">
        <w:rPr>
          <w:rFonts w:asciiTheme="majorHAnsi" w:hAnsiTheme="majorHAnsi" w:cstheme="majorHAnsi"/>
          <w:sz w:val="20"/>
          <w:szCs w:val="20"/>
          <w:vertAlign w:val="superscript"/>
        </w:rPr>
        <w:t>2</w:t>
      </w:r>
      <w:r>
        <w:rPr>
          <w:rFonts w:asciiTheme="majorHAnsi" w:hAnsiTheme="majorHAnsi" w:cstheme="majorHAnsi"/>
          <w:sz w:val="20"/>
          <w:szCs w:val="20"/>
          <w:vertAlign w:val="superscript"/>
        </w:rPr>
        <w:t xml:space="preserve"> </w:t>
      </w:r>
      <w:r w:rsidRPr="009B2CD0">
        <w:rPr>
          <w:rFonts w:asciiTheme="majorHAnsi" w:eastAsia="Calibri" w:hAnsiTheme="majorHAnsi" w:cstheme="majorHAnsi"/>
          <w:sz w:val="20"/>
          <w:szCs w:val="20"/>
        </w:rPr>
        <w:t>Monetary contribution to NBSF</w:t>
      </w:r>
      <w:r w:rsidRPr="009B2CD0">
        <w:rPr>
          <w:sz w:val="20"/>
          <w:szCs w:val="20"/>
        </w:rPr>
        <w:t xml:space="preserve"> </w:t>
      </w:r>
      <w:r w:rsidRPr="009B2CD0">
        <w:rPr>
          <w:rFonts w:asciiTheme="majorHAnsi" w:eastAsia="Calibri" w:hAnsiTheme="majorHAnsi" w:cstheme="majorHAnsi"/>
          <w:color w:val="000000" w:themeColor="text1"/>
          <w:sz w:val="20"/>
          <w:szCs w:val="20"/>
        </w:rPr>
        <w:t xml:space="preserve">R$ 5,200,558.05 + </w:t>
      </w:r>
      <w:r w:rsidRPr="009B2CD0">
        <w:rPr>
          <w:rFonts w:asciiTheme="majorHAnsi" w:eastAsia="Calibri" w:hAnsiTheme="majorHAnsi" w:cstheme="majorHAnsi"/>
          <w:sz w:val="20"/>
          <w:szCs w:val="20"/>
        </w:rPr>
        <w:t>non-monetary project User-Union (contracted)</w:t>
      </w:r>
      <w:r w:rsidR="000A30F7">
        <w:rPr>
          <w:rFonts w:asciiTheme="majorHAnsi" w:eastAsia="Calibri" w:hAnsiTheme="majorHAnsi" w:cstheme="majorHAnsi"/>
          <w:sz w:val="20"/>
          <w:szCs w:val="20"/>
        </w:rPr>
        <w:t xml:space="preserve"> </w:t>
      </w:r>
      <w:r w:rsidRPr="009B2CD0">
        <w:rPr>
          <w:rFonts w:asciiTheme="majorHAnsi" w:eastAsia="Calibri" w:hAnsiTheme="majorHAnsi" w:cstheme="majorHAnsi"/>
          <w:sz w:val="20"/>
          <w:szCs w:val="20"/>
        </w:rPr>
        <w:t xml:space="preserve">R$ 1,310,699.37 + non-monetary project User-Provider (contracted) </w:t>
      </w:r>
      <w:r w:rsidRPr="009B2CD0">
        <w:rPr>
          <w:rFonts w:asciiTheme="majorHAnsi" w:hAnsiTheme="majorHAnsi" w:cstheme="majorHAnsi"/>
          <w:sz w:val="20"/>
          <w:szCs w:val="20"/>
        </w:rPr>
        <w:t>R$ 121,975.16.</w:t>
      </w:r>
    </w:p>
    <w:p w14:paraId="018E4835" w14:textId="3A103A9B" w:rsidR="00A46E5B" w:rsidRPr="004A55E0" w:rsidRDefault="00A46E5B" w:rsidP="0092337F">
      <w:pPr>
        <w:spacing w:after="0"/>
        <w:ind w:left="142"/>
        <w:jc w:val="both"/>
        <w:rPr>
          <w:rFonts w:asciiTheme="majorHAnsi" w:hAnsiTheme="majorHAnsi" w:cstheme="majorHAnsi"/>
          <w:sz w:val="20"/>
          <w:szCs w:val="20"/>
        </w:rPr>
      </w:pPr>
      <w:r>
        <w:rPr>
          <w:rFonts w:asciiTheme="majorHAnsi" w:hAnsiTheme="majorHAnsi" w:cstheme="majorHAnsi"/>
          <w:sz w:val="20"/>
          <w:szCs w:val="20"/>
        </w:rPr>
        <w:t>*</w:t>
      </w:r>
      <w:r w:rsidR="001A61A7">
        <w:rPr>
          <w:rFonts w:asciiTheme="majorHAnsi" w:hAnsiTheme="majorHAnsi" w:cstheme="majorHAnsi"/>
          <w:sz w:val="20"/>
          <w:szCs w:val="20"/>
          <w:vertAlign w:val="superscript"/>
        </w:rPr>
        <w:t>3</w:t>
      </w:r>
      <w:r>
        <w:rPr>
          <w:rFonts w:asciiTheme="majorHAnsi" w:hAnsiTheme="majorHAnsi" w:cstheme="majorHAnsi"/>
          <w:sz w:val="20"/>
          <w:szCs w:val="20"/>
        </w:rPr>
        <w:t xml:space="preserve"> </w:t>
      </w:r>
      <w:r w:rsidR="004D1797">
        <w:rPr>
          <w:rFonts w:asciiTheme="majorHAnsi" w:hAnsiTheme="majorHAnsi" w:cstheme="majorHAnsi"/>
          <w:sz w:val="20"/>
          <w:szCs w:val="20"/>
        </w:rPr>
        <w:t>C</w:t>
      </w:r>
      <w:r w:rsidR="002F1A44">
        <w:rPr>
          <w:rFonts w:asciiTheme="majorHAnsi" w:hAnsiTheme="majorHAnsi" w:cstheme="majorHAnsi"/>
          <w:sz w:val="20"/>
          <w:szCs w:val="20"/>
        </w:rPr>
        <w:t xml:space="preserve">onvention on Biological </w:t>
      </w:r>
      <w:r w:rsidR="0005264B">
        <w:rPr>
          <w:rFonts w:asciiTheme="majorHAnsi" w:hAnsiTheme="majorHAnsi" w:cstheme="majorHAnsi"/>
          <w:sz w:val="20"/>
          <w:szCs w:val="20"/>
        </w:rPr>
        <w:t>D</w:t>
      </w:r>
      <w:r w:rsidR="002F1A44">
        <w:rPr>
          <w:rFonts w:asciiTheme="majorHAnsi" w:hAnsiTheme="majorHAnsi" w:cstheme="majorHAnsi"/>
          <w:sz w:val="20"/>
          <w:szCs w:val="20"/>
        </w:rPr>
        <w:t xml:space="preserve">iversity </w:t>
      </w:r>
      <w:r w:rsidR="004D1797">
        <w:rPr>
          <w:rFonts w:asciiTheme="majorHAnsi" w:hAnsiTheme="majorHAnsi" w:cstheme="majorHAnsi"/>
          <w:sz w:val="20"/>
          <w:szCs w:val="20"/>
        </w:rPr>
        <w:t xml:space="preserve">plus </w:t>
      </w:r>
      <w:r w:rsidRPr="009B2CD0">
        <w:rPr>
          <w:rFonts w:asciiTheme="majorHAnsi" w:hAnsiTheme="majorHAnsi" w:cstheme="majorHAnsi"/>
          <w:sz w:val="20"/>
          <w:szCs w:val="20"/>
        </w:rPr>
        <w:t xml:space="preserve">Nagoya Protocol </w:t>
      </w:r>
      <w:r>
        <w:rPr>
          <w:rFonts w:asciiTheme="majorHAnsi" w:hAnsiTheme="majorHAnsi" w:cstheme="majorHAnsi"/>
          <w:sz w:val="20"/>
          <w:szCs w:val="20"/>
        </w:rPr>
        <w:t xml:space="preserve">annual </w:t>
      </w:r>
      <w:r w:rsidRPr="009B2CD0">
        <w:rPr>
          <w:rFonts w:asciiTheme="majorHAnsi" w:hAnsiTheme="majorHAnsi" w:cstheme="majorHAnsi"/>
          <w:sz w:val="20"/>
          <w:szCs w:val="20"/>
        </w:rPr>
        <w:t>contribution</w:t>
      </w:r>
      <w:r w:rsidR="00A91039">
        <w:rPr>
          <w:rFonts w:asciiTheme="majorHAnsi" w:hAnsiTheme="majorHAnsi" w:cstheme="majorHAnsi"/>
          <w:sz w:val="20"/>
          <w:szCs w:val="20"/>
        </w:rPr>
        <w:t>s</w:t>
      </w:r>
      <w:r w:rsidR="002F1A44">
        <w:rPr>
          <w:rFonts w:asciiTheme="majorHAnsi" w:hAnsiTheme="majorHAnsi" w:cstheme="majorHAnsi"/>
          <w:sz w:val="20"/>
          <w:szCs w:val="20"/>
        </w:rPr>
        <w:t xml:space="preserve"> combined</w:t>
      </w:r>
    </w:p>
    <w:bookmarkEnd w:id="8"/>
    <w:p w14:paraId="68865728" w14:textId="1909AD7D" w:rsidR="00921C0E" w:rsidRDefault="00921C0E" w:rsidP="006871DF">
      <w:pPr>
        <w:spacing w:line="257" w:lineRule="auto"/>
        <w:rPr>
          <w:rFonts w:ascii="Calibri" w:eastAsia="Calibri" w:hAnsi="Calibri" w:cs="Calibri"/>
          <w:b/>
          <w:bCs/>
          <w:i/>
          <w:iCs/>
        </w:rPr>
      </w:pPr>
    </w:p>
    <w:p w14:paraId="008A5DC7" w14:textId="77777777" w:rsidR="000A30F7" w:rsidRPr="000A30F7" w:rsidRDefault="000A30F7" w:rsidP="000A30F7">
      <w:pPr>
        <w:spacing w:line="257" w:lineRule="auto"/>
        <w:rPr>
          <w:rFonts w:eastAsia="Calibri" w:cstheme="minorHAnsi"/>
        </w:rPr>
      </w:pPr>
      <w:r w:rsidRPr="000A30F7">
        <w:rPr>
          <w:rFonts w:eastAsia="Calibri" w:cstheme="minorHAnsi"/>
        </w:rPr>
        <w:t>As shown in Table III, ABS policy operational costs from January 2016 to August 2022</w:t>
      </w:r>
      <w:r w:rsidRPr="000A30F7">
        <w:rPr>
          <w:rFonts w:eastAsia="Calibri" w:cstheme="minorHAnsi"/>
          <w:i/>
          <w:iCs/>
        </w:rPr>
        <w:t xml:space="preserve"> </w:t>
      </w:r>
      <w:r w:rsidRPr="000A30F7">
        <w:rPr>
          <w:rFonts w:eastAsia="Calibri" w:cstheme="minorHAnsi"/>
        </w:rPr>
        <w:t>were 3.8-folds higher than the total monetary and non-monetary benefits shared by users in that same period. The total amount of those costs was more than 18 million reais higher than the generated benefits.</w:t>
      </w:r>
    </w:p>
    <w:p w14:paraId="516641F1" w14:textId="77777777" w:rsidR="000A30F7" w:rsidRPr="006465B3" w:rsidRDefault="000A30F7" w:rsidP="000A30F7">
      <w:pPr>
        <w:spacing w:line="257" w:lineRule="auto"/>
        <w:rPr>
          <w:rFonts w:ascii="Calibri" w:eastAsia="Calibri" w:hAnsi="Calibri" w:cs="Calibri"/>
        </w:rPr>
      </w:pPr>
      <w:r>
        <w:rPr>
          <w:rFonts w:ascii="Calibri" w:eastAsia="Calibri" w:hAnsi="Calibri" w:cs="Calibri"/>
        </w:rPr>
        <w:t>As explained in section 2.2, t</w:t>
      </w:r>
      <w:r w:rsidRPr="00BE45DF">
        <w:rPr>
          <w:rFonts w:ascii="Calibri" w:eastAsia="Calibri" w:hAnsi="Calibri" w:cs="Calibri"/>
        </w:rPr>
        <w:t>h</w:t>
      </w:r>
      <w:r>
        <w:rPr>
          <w:rFonts w:ascii="Calibri" w:eastAsia="Calibri" w:hAnsi="Calibri" w:cs="Calibri"/>
        </w:rPr>
        <w:t xml:space="preserve">e </w:t>
      </w:r>
      <w:r w:rsidRPr="006465B3">
        <w:rPr>
          <w:rFonts w:ascii="Calibri" w:eastAsia="Calibri" w:hAnsi="Calibri" w:cs="Calibri"/>
        </w:rPr>
        <w:t xml:space="preserve">costs </w:t>
      </w:r>
      <w:r>
        <w:rPr>
          <w:rFonts w:ascii="Calibri" w:eastAsia="Calibri" w:hAnsi="Calibri" w:cs="Calibri"/>
        </w:rPr>
        <w:t xml:space="preserve">considered in the analysis </w:t>
      </w:r>
      <w:r w:rsidRPr="006465B3">
        <w:rPr>
          <w:rFonts w:ascii="Calibri" w:eastAsia="Calibri" w:hAnsi="Calibri" w:cs="Calibri"/>
        </w:rPr>
        <w:t xml:space="preserve">are a fraction of the costs </w:t>
      </w:r>
      <w:r>
        <w:rPr>
          <w:rFonts w:ascii="Calibri" w:eastAsia="Calibri" w:hAnsi="Calibri" w:cs="Calibri"/>
        </w:rPr>
        <w:t xml:space="preserve">actually </w:t>
      </w:r>
      <w:r w:rsidRPr="006465B3">
        <w:rPr>
          <w:rFonts w:ascii="Calibri" w:eastAsia="Calibri" w:hAnsi="Calibri" w:cs="Calibri"/>
        </w:rPr>
        <w:t>incurred by government and users, and so it should be seen as a floor for the total costs</w:t>
      </w:r>
      <w:r>
        <w:rPr>
          <w:rFonts w:ascii="Calibri" w:eastAsia="Calibri" w:hAnsi="Calibri" w:cs="Calibri"/>
        </w:rPr>
        <w:t xml:space="preserve">, and the same applies to the balance and ratios presented in table III. </w:t>
      </w:r>
      <w:r w:rsidRPr="006465B3">
        <w:rPr>
          <w:rFonts w:ascii="Calibri" w:eastAsia="Calibri" w:hAnsi="Calibri" w:cs="Calibri"/>
        </w:rPr>
        <w:t xml:space="preserve"> </w:t>
      </w:r>
    </w:p>
    <w:p w14:paraId="6CCFFB5B" w14:textId="77777777" w:rsidR="007B2BD4" w:rsidRPr="006465B3" w:rsidRDefault="007B2BD4" w:rsidP="007B2BD4">
      <w:pPr>
        <w:spacing w:line="257" w:lineRule="auto"/>
        <w:rPr>
          <w:rFonts w:ascii="Calibri" w:eastAsia="Calibri" w:hAnsi="Calibri" w:cs="Calibri"/>
        </w:rPr>
      </w:pPr>
      <w:r>
        <w:t>W</w:t>
      </w:r>
      <w:r w:rsidRPr="006465B3">
        <w:rPr>
          <w:rFonts w:ascii="Calibri" w:eastAsia="Calibri" w:hAnsi="Calibri" w:cs="Calibri"/>
        </w:rPr>
        <w:t>ithin the temporal scope of the study</w:t>
      </w:r>
      <w:r>
        <w:rPr>
          <w:rFonts w:ascii="Calibri" w:eastAsia="Calibri" w:hAnsi="Calibri" w:cs="Calibri"/>
        </w:rPr>
        <w:t>,</w:t>
      </w:r>
      <w:r w:rsidRPr="006465B3">
        <w:rPr>
          <w:rFonts w:ascii="Calibri" w:eastAsia="Calibri" w:hAnsi="Calibri" w:cs="Calibri"/>
        </w:rPr>
        <w:t xml:space="preserve"> the government costs</w:t>
      </w:r>
      <w:r w:rsidRPr="00BE45DF">
        <w:rPr>
          <w:rFonts w:ascii="Calibri" w:eastAsia="Calibri" w:hAnsi="Calibri" w:cs="Calibri"/>
        </w:rPr>
        <w:t xml:space="preserve"> operating the ABS framework in Brazil, is </w:t>
      </w:r>
      <w:r>
        <w:rPr>
          <w:rFonts w:ascii="Calibri" w:eastAsia="Calibri" w:hAnsi="Calibri" w:cs="Calibri"/>
        </w:rPr>
        <w:t xml:space="preserve">therefore </w:t>
      </w:r>
      <w:r w:rsidRPr="00BE45DF">
        <w:rPr>
          <w:rFonts w:ascii="Calibri" w:eastAsia="Calibri" w:hAnsi="Calibri" w:cs="Calibri"/>
        </w:rPr>
        <w:t xml:space="preserve">many times higher than the amount of benefit shared by the registered users. </w:t>
      </w:r>
    </w:p>
    <w:p w14:paraId="01EACB12" w14:textId="77777777" w:rsidR="007B2BD4" w:rsidRDefault="007B2BD4" w:rsidP="007B2BD4">
      <w:pPr>
        <w:spacing w:line="257" w:lineRule="auto"/>
        <w:rPr>
          <w:rFonts w:ascii="Calibri" w:eastAsia="Calibri" w:hAnsi="Calibri" w:cs="Calibri"/>
        </w:rPr>
      </w:pPr>
      <w:r w:rsidRPr="00BE45DF">
        <w:rPr>
          <w:rFonts w:ascii="Calibri" w:eastAsia="Calibri" w:hAnsi="Calibri" w:cs="Calibri"/>
        </w:rPr>
        <w:t>From 2016 to 2021, the total of CBD annual contributions</w:t>
      </w:r>
      <w:r>
        <w:rPr>
          <w:rFonts w:ascii="Calibri" w:eastAsia="Calibri" w:hAnsi="Calibri" w:cs="Calibri"/>
        </w:rPr>
        <w:t>, adjusted to August 2022, added more than 11.9 million reais.  That amount is</w:t>
      </w:r>
      <w:r w:rsidRPr="00BE45DF">
        <w:rPr>
          <w:rFonts w:ascii="Calibri" w:eastAsia="Calibri" w:hAnsi="Calibri" w:cs="Calibri"/>
        </w:rPr>
        <w:t xml:space="preserve"> 1</w:t>
      </w:r>
      <w:r>
        <w:rPr>
          <w:rFonts w:ascii="Calibri" w:eastAsia="Calibri" w:hAnsi="Calibri" w:cs="Calibri"/>
        </w:rPr>
        <w:t>.8</w:t>
      </w:r>
      <w:r w:rsidRPr="00BE45DF">
        <w:rPr>
          <w:rFonts w:ascii="Calibri" w:eastAsia="Calibri" w:hAnsi="Calibri" w:cs="Calibri"/>
        </w:rPr>
        <w:t>-</w:t>
      </w:r>
      <w:proofErr w:type="gramStart"/>
      <w:r w:rsidRPr="00BE45DF">
        <w:rPr>
          <w:rFonts w:ascii="Calibri" w:eastAsia="Calibri" w:hAnsi="Calibri" w:cs="Calibri"/>
        </w:rPr>
        <w:t>fold</w:t>
      </w:r>
      <w:r>
        <w:rPr>
          <w:rFonts w:ascii="Calibri" w:eastAsia="Calibri" w:hAnsi="Calibri" w:cs="Calibri"/>
        </w:rPr>
        <w:t>s</w:t>
      </w:r>
      <w:proofErr w:type="gramEnd"/>
      <w:r w:rsidRPr="00BE45DF">
        <w:rPr>
          <w:rFonts w:ascii="Calibri" w:eastAsia="Calibri" w:hAnsi="Calibri" w:cs="Calibri"/>
        </w:rPr>
        <w:t xml:space="preserve"> higher than all benefit</w:t>
      </w:r>
      <w:r>
        <w:rPr>
          <w:rFonts w:ascii="Calibri" w:eastAsia="Calibri" w:hAnsi="Calibri" w:cs="Calibri"/>
        </w:rPr>
        <w:t>s shared in the period under analysis</w:t>
      </w:r>
      <w:r w:rsidRPr="00BE45DF">
        <w:rPr>
          <w:rFonts w:ascii="Calibri" w:eastAsia="Calibri" w:hAnsi="Calibri" w:cs="Calibri"/>
        </w:rPr>
        <w:t xml:space="preserve">. </w:t>
      </w:r>
      <w:r>
        <w:rPr>
          <w:rFonts w:ascii="Calibri" w:eastAsia="Calibri" w:hAnsi="Calibri" w:cs="Calibri"/>
        </w:rPr>
        <w:t>When the CBD contributions made by Brazil are added to the operational costs, the cost-benefit ratio increases to 5.6-folds. When the contributions to CBD and Nagoya Protocol to be disbursed (related to year 2022) are also added, that ratio increases to 6.1-fold</w:t>
      </w:r>
      <w:r w:rsidRPr="006465B3">
        <w:rPr>
          <w:rFonts w:ascii="Calibri" w:eastAsia="Calibri" w:hAnsi="Calibri" w:cs="Calibri"/>
        </w:rPr>
        <w:t xml:space="preserve">. </w:t>
      </w:r>
    </w:p>
    <w:p w14:paraId="235149D6" w14:textId="77777777" w:rsidR="000A30F7" w:rsidRDefault="000A30F7" w:rsidP="006871DF">
      <w:pPr>
        <w:spacing w:line="257" w:lineRule="auto"/>
        <w:rPr>
          <w:rFonts w:ascii="Calibri" w:eastAsia="Calibri" w:hAnsi="Calibri" w:cs="Calibri"/>
          <w:b/>
          <w:bCs/>
          <w:i/>
          <w:iCs/>
        </w:rPr>
      </w:pPr>
    </w:p>
    <w:p w14:paraId="25EB6E57" w14:textId="24807C10" w:rsidR="007512A6" w:rsidRPr="00CF6294" w:rsidRDefault="00921C0E" w:rsidP="006871DF">
      <w:pPr>
        <w:spacing w:line="257" w:lineRule="auto"/>
        <w:rPr>
          <w:rFonts w:eastAsia="Calibri" w:cstheme="minorHAnsi"/>
        </w:rPr>
      </w:pPr>
      <w:r w:rsidRPr="00CF6294">
        <w:rPr>
          <w:rFonts w:eastAsia="Calibri" w:cstheme="minorHAnsi"/>
          <w:b/>
          <w:bCs/>
          <w:i/>
          <w:iCs/>
        </w:rPr>
        <w:lastRenderedPageBreak/>
        <w:t xml:space="preserve">Table IV. </w:t>
      </w:r>
      <w:r w:rsidR="00377EC4" w:rsidRPr="00CF6294">
        <w:rPr>
          <w:rFonts w:eastAsia="Calibri" w:cstheme="minorHAnsi"/>
          <w:i/>
          <w:iCs/>
        </w:rPr>
        <w:t>Benefit Sharing contributions</w:t>
      </w:r>
      <w:r w:rsidR="00195A51" w:rsidRPr="00CF6294">
        <w:rPr>
          <w:rFonts w:eastAsia="Calibri" w:cstheme="minorHAnsi"/>
          <w:i/>
          <w:iCs/>
        </w:rPr>
        <w:t xml:space="preserve"> and Investments</w:t>
      </w:r>
      <w:r w:rsidR="000C6D2A" w:rsidRPr="00CF6294">
        <w:rPr>
          <w:rFonts w:eastAsia="Calibri" w:cstheme="minorHAnsi"/>
          <w:i/>
          <w:iCs/>
        </w:rPr>
        <w:t xml:space="preserve"> from January 2016 to August 2022</w:t>
      </w:r>
      <w:r w:rsidR="00975761" w:rsidRPr="00CF6294">
        <w:rPr>
          <w:rFonts w:eastAsia="Calibri" w:cstheme="minorHAnsi"/>
          <w:i/>
          <w:iCs/>
        </w:rPr>
        <w:t>. Source: SisGen (LAI)</w:t>
      </w:r>
    </w:p>
    <w:tbl>
      <w:tblPr>
        <w:tblStyle w:val="TableGrid"/>
        <w:tblW w:w="8812" w:type="dxa"/>
        <w:jc w:val="center"/>
        <w:tblLook w:val="04A0" w:firstRow="1" w:lastRow="0" w:firstColumn="1" w:lastColumn="0" w:noHBand="0" w:noVBand="1"/>
      </w:tblPr>
      <w:tblGrid>
        <w:gridCol w:w="2433"/>
        <w:gridCol w:w="379"/>
        <w:gridCol w:w="2713"/>
        <w:gridCol w:w="1563"/>
        <w:gridCol w:w="1724"/>
      </w:tblGrid>
      <w:tr w:rsidR="00921C0E" w:rsidRPr="00CF6294" w14:paraId="0A827162" w14:textId="77777777" w:rsidTr="00CF6294">
        <w:trPr>
          <w:jc w:val="center"/>
        </w:trPr>
        <w:tc>
          <w:tcPr>
            <w:tcW w:w="2812"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76F1DB7C" w14:textId="77777777" w:rsidR="00CF6294" w:rsidRDefault="00921C0E" w:rsidP="003A4AC2">
            <w:pPr>
              <w:jc w:val="center"/>
              <w:rPr>
                <w:rFonts w:cstheme="minorHAnsi"/>
                <w:color w:val="FFFFFF" w:themeColor="background1"/>
                <w:sz w:val="20"/>
                <w:szCs w:val="20"/>
              </w:rPr>
            </w:pPr>
            <w:r w:rsidRPr="00CF6294">
              <w:rPr>
                <w:rFonts w:cstheme="minorHAnsi"/>
                <w:color w:val="FFFFFF" w:themeColor="background1"/>
                <w:sz w:val="20"/>
                <w:szCs w:val="20"/>
              </w:rPr>
              <w:t>Benefit Sharing</w:t>
            </w:r>
          </w:p>
          <w:p w14:paraId="125F8398" w14:textId="722B01D2" w:rsidR="00921C0E" w:rsidRPr="00CF6294" w:rsidRDefault="00921C0E" w:rsidP="003A4AC2">
            <w:pPr>
              <w:jc w:val="center"/>
              <w:rPr>
                <w:rFonts w:cstheme="minorHAnsi"/>
                <w:color w:val="FFFFFF" w:themeColor="background1"/>
                <w:sz w:val="20"/>
                <w:szCs w:val="20"/>
              </w:rPr>
            </w:pPr>
            <w:r w:rsidRPr="00CF6294">
              <w:rPr>
                <w:rFonts w:cstheme="minorHAnsi"/>
                <w:color w:val="FFFFFF" w:themeColor="background1"/>
                <w:sz w:val="20"/>
                <w:szCs w:val="20"/>
              </w:rPr>
              <w:t xml:space="preserve"> Modality</w:t>
            </w:r>
          </w:p>
        </w:tc>
        <w:tc>
          <w:tcPr>
            <w:tcW w:w="271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79592A00" w14:textId="77777777" w:rsidR="00CF6294" w:rsidRDefault="00921C0E" w:rsidP="00CF6294">
            <w:pPr>
              <w:jc w:val="center"/>
              <w:rPr>
                <w:rFonts w:cstheme="minorHAnsi"/>
                <w:color w:val="FFFFFF" w:themeColor="background1"/>
                <w:sz w:val="20"/>
                <w:szCs w:val="20"/>
              </w:rPr>
            </w:pPr>
            <w:r w:rsidRPr="00CF6294">
              <w:rPr>
                <w:rFonts w:cstheme="minorHAnsi"/>
                <w:color w:val="FFFFFF" w:themeColor="background1"/>
                <w:sz w:val="20"/>
                <w:szCs w:val="20"/>
              </w:rPr>
              <w:t xml:space="preserve">Source of </w:t>
            </w:r>
          </w:p>
          <w:p w14:paraId="677B8B2D" w14:textId="6CAD310B" w:rsidR="00921C0E" w:rsidRPr="00CF6294" w:rsidRDefault="00921C0E" w:rsidP="00CF6294">
            <w:pPr>
              <w:jc w:val="center"/>
              <w:rPr>
                <w:rFonts w:cstheme="minorHAnsi"/>
                <w:color w:val="FFFFFF" w:themeColor="background1"/>
                <w:sz w:val="20"/>
                <w:szCs w:val="20"/>
              </w:rPr>
            </w:pPr>
            <w:r w:rsidRPr="00CF6294">
              <w:rPr>
                <w:rFonts w:cstheme="minorHAnsi"/>
                <w:color w:val="FFFFFF" w:themeColor="background1"/>
                <w:sz w:val="20"/>
                <w:szCs w:val="20"/>
              </w:rPr>
              <w:t xml:space="preserve">Benefit </w:t>
            </w:r>
            <w:r w:rsidR="00CF6294">
              <w:rPr>
                <w:rFonts w:cstheme="minorHAnsi"/>
                <w:color w:val="FFFFFF" w:themeColor="background1"/>
                <w:sz w:val="20"/>
                <w:szCs w:val="20"/>
              </w:rPr>
              <w:t>Sharing</w:t>
            </w:r>
            <w:r w:rsidRPr="00CF6294">
              <w:rPr>
                <w:rFonts w:cstheme="minorHAnsi"/>
                <w:color w:val="FFFFFF" w:themeColor="background1"/>
                <w:sz w:val="20"/>
                <w:szCs w:val="20"/>
              </w:rPr>
              <w:t>*</w:t>
            </w:r>
            <w:r w:rsidRPr="00CF6294">
              <w:rPr>
                <w:rFonts w:cstheme="minorHAnsi"/>
                <w:color w:val="FFFFFF" w:themeColor="background1"/>
                <w:sz w:val="20"/>
                <w:szCs w:val="20"/>
                <w:vertAlign w:val="superscript"/>
              </w:rPr>
              <w:t>1</w:t>
            </w:r>
            <w:r w:rsidR="00CF6294">
              <w:rPr>
                <w:rFonts w:cstheme="minorHAnsi"/>
                <w:color w:val="FFFFFF" w:themeColor="background1"/>
                <w:sz w:val="20"/>
                <w:szCs w:val="20"/>
                <w:vertAlign w:val="superscript"/>
              </w:rPr>
              <w:t xml:space="preserve">,2 </w:t>
            </w:r>
          </w:p>
        </w:tc>
        <w:tc>
          <w:tcPr>
            <w:tcW w:w="1563"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09973011" w14:textId="77777777" w:rsidR="00921C0E" w:rsidRPr="00CF6294" w:rsidRDefault="00921C0E" w:rsidP="003A4AC2">
            <w:pPr>
              <w:jc w:val="center"/>
              <w:rPr>
                <w:rFonts w:cstheme="minorHAnsi"/>
                <w:color w:val="FFFFFF" w:themeColor="background1"/>
                <w:sz w:val="20"/>
                <w:szCs w:val="20"/>
              </w:rPr>
            </w:pPr>
            <w:r w:rsidRPr="00CF6294">
              <w:rPr>
                <w:rFonts w:cstheme="minorHAnsi"/>
                <w:color w:val="FFFFFF" w:themeColor="background1"/>
                <w:sz w:val="20"/>
                <w:szCs w:val="20"/>
              </w:rPr>
              <w:t>BS Contribution</w:t>
            </w:r>
          </w:p>
          <w:p w14:paraId="081BB32D" w14:textId="77777777" w:rsidR="00921C0E" w:rsidRPr="00CF6294" w:rsidRDefault="00921C0E" w:rsidP="003A4AC2">
            <w:pPr>
              <w:jc w:val="center"/>
              <w:rPr>
                <w:rFonts w:cstheme="minorHAnsi"/>
                <w:color w:val="FFFFFF" w:themeColor="background1"/>
                <w:sz w:val="20"/>
                <w:szCs w:val="20"/>
              </w:rPr>
            </w:pPr>
            <w:r w:rsidRPr="00CF6294">
              <w:rPr>
                <w:rFonts w:cstheme="minorHAnsi"/>
                <w:color w:val="FFFFFF" w:themeColor="background1"/>
                <w:sz w:val="20"/>
                <w:szCs w:val="20"/>
              </w:rPr>
              <w:t>Value*</w:t>
            </w:r>
            <w:r w:rsidRPr="00CF6294">
              <w:rPr>
                <w:rFonts w:cstheme="minorHAnsi"/>
                <w:color w:val="FFFFFF" w:themeColor="background1"/>
                <w:sz w:val="20"/>
                <w:szCs w:val="20"/>
                <w:vertAlign w:val="superscript"/>
              </w:rPr>
              <w:t>3</w:t>
            </w:r>
          </w:p>
        </w:tc>
        <w:tc>
          <w:tcPr>
            <w:tcW w:w="172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45F586D4" w14:textId="77777777" w:rsidR="00722DB9" w:rsidRPr="00CF6294" w:rsidRDefault="00921C0E" w:rsidP="00722DB9">
            <w:pPr>
              <w:jc w:val="center"/>
              <w:rPr>
                <w:rFonts w:cstheme="minorHAnsi"/>
                <w:color w:val="FFFFFF" w:themeColor="background1"/>
                <w:sz w:val="20"/>
                <w:szCs w:val="20"/>
              </w:rPr>
            </w:pPr>
            <w:r w:rsidRPr="00CF6294">
              <w:rPr>
                <w:rFonts w:cstheme="minorHAnsi"/>
                <w:color w:val="FFFFFF" w:themeColor="background1"/>
                <w:sz w:val="20"/>
                <w:szCs w:val="20"/>
              </w:rPr>
              <w:t xml:space="preserve">Invested </w:t>
            </w:r>
          </w:p>
          <w:p w14:paraId="5599DB64" w14:textId="6FEBD920" w:rsidR="00921C0E" w:rsidRPr="00CF6294" w:rsidRDefault="00722DB9" w:rsidP="00722DB9">
            <w:pPr>
              <w:jc w:val="center"/>
              <w:rPr>
                <w:rFonts w:cstheme="minorHAnsi"/>
                <w:color w:val="FFFFFF" w:themeColor="background1"/>
                <w:sz w:val="20"/>
                <w:szCs w:val="20"/>
              </w:rPr>
            </w:pPr>
            <w:r w:rsidRPr="00CF6294">
              <w:rPr>
                <w:rFonts w:cstheme="minorHAnsi"/>
                <w:color w:val="FFFFFF" w:themeColor="background1"/>
                <w:sz w:val="20"/>
                <w:szCs w:val="20"/>
              </w:rPr>
              <w:t>Values</w:t>
            </w:r>
            <w:r w:rsidR="00921C0E" w:rsidRPr="00CF6294">
              <w:rPr>
                <w:rFonts w:cstheme="minorHAnsi"/>
                <w:color w:val="FFFFFF" w:themeColor="background1"/>
                <w:sz w:val="20"/>
                <w:szCs w:val="20"/>
              </w:rPr>
              <w:t>*</w:t>
            </w:r>
            <w:r w:rsidR="00921C0E" w:rsidRPr="00CF6294">
              <w:rPr>
                <w:rFonts w:cstheme="minorHAnsi"/>
                <w:color w:val="FFFFFF" w:themeColor="background1"/>
                <w:sz w:val="20"/>
                <w:szCs w:val="20"/>
                <w:vertAlign w:val="superscript"/>
              </w:rPr>
              <w:t>4</w:t>
            </w:r>
          </w:p>
        </w:tc>
      </w:tr>
      <w:tr w:rsidR="00921C0E" w:rsidRPr="00CF6294" w14:paraId="564F329F" w14:textId="77777777" w:rsidTr="00CF6294">
        <w:trPr>
          <w:jc w:val="center"/>
        </w:trPr>
        <w:tc>
          <w:tcPr>
            <w:tcW w:w="2433" w:type="dxa"/>
            <w:tcBorders>
              <w:top w:val="single" w:sz="18" w:space="0" w:color="FFFFFF" w:themeColor="background1"/>
              <w:left w:val="nil"/>
              <w:bottom w:val="single" w:sz="2" w:space="0" w:color="0070C0"/>
              <w:right w:val="nil"/>
            </w:tcBorders>
            <w:vAlign w:val="center"/>
          </w:tcPr>
          <w:p w14:paraId="49447F36" w14:textId="77777777" w:rsidR="00921C0E" w:rsidRPr="00CF6294" w:rsidRDefault="00921C0E" w:rsidP="003A4AC2">
            <w:pPr>
              <w:rPr>
                <w:rFonts w:cstheme="minorHAnsi"/>
                <w:sz w:val="20"/>
                <w:szCs w:val="20"/>
              </w:rPr>
            </w:pPr>
            <w:r w:rsidRPr="00CF6294">
              <w:rPr>
                <w:rFonts w:eastAsia="Calibri" w:cstheme="minorHAnsi"/>
                <w:sz w:val="20"/>
                <w:szCs w:val="20"/>
              </w:rPr>
              <w:t>Monetary</w:t>
            </w:r>
          </w:p>
        </w:tc>
        <w:tc>
          <w:tcPr>
            <w:tcW w:w="379" w:type="dxa"/>
            <w:tcBorders>
              <w:top w:val="single" w:sz="18" w:space="0" w:color="FFFFFF" w:themeColor="background1"/>
              <w:left w:val="nil"/>
              <w:bottom w:val="single" w:sz="2" w:space="0" w:color="0070C0"/>
              <w:right w:val="nil"/>
            </w:tcBorders>
            <w:vAlign w:val="center"/>
          </w:tcPr>
          <w:p w14:paraId="63D126D0" w14:textId="77777777" w:rsidR="00921C0E" w:rsidRPr="00CF6294" w:rsidRDefault="00921C0E" w:rsidP="003A4AC2">
            <w:pPr>
              <w:jc w:val="right"/>
              <w:rPr>
                <w:rFonts w:eastAsia="Calibri" w:cstheme="minorHAnsi"/>
                <w:sz w:val="20"/>
                <w:szCs w:val="20"/>
              </w:rPr>
            </w:pPr>
          </w:p>
        </w:tc>
        <w:tc>
          <w:tcPr>
            <w:tcW w:w="2713" w:type="dxa"/>
            <w:tcBorders>
              <w:top w:val="single" w:sz="18" w:space="0" w:color="FFFFFF" w:themeColor="background1"/>
              <w:left w:val="nil"/>
              <w:bottom w:val="single" w:sz="2" w:space="0" w:color="0070C0"/>
              <w:right w:val="nil"/>
            </w:tcBorders>
            <w:vAlign w:val="center"/>
          </w:tcPr>
          <w:p w14:paraId="69CADE7D" w14:textId="6F4B12A4" w:rsidR="00921C0E" w:rsidRPr="00CF6294" w:rsidRDefault="007B48A3" w:rsidP="003A4AC2">
            <w:pPr>
              <w:jc w:val="right"/>
              <w:rPr>
                <w:rFonts w:cstheme="minorHAnsi"/>
                <w:sz w:val="20"/>
                <w:szCs w:val="20"/>
              </w:rPr>
            </w:pPr>
            <w:r w:rsidRPr="00CF6294">
              <w:rPr>
                <w:rFonts w:cstheme="minorHAnsi"/>
                <w:sz w:val="20"/>
                <w:szCs w:val="20"/>
              </w:rPr>
              <w:t xml:space="preserve">Contributions to </w:t>
            </w:r>
            <w:r w:rsidR="00921C0E" w:rsidRPr="00CF6294">
              <w:rPr>
                <w:rFonts w:cstheme="minorHAnsi"/>
                <w:sz w:val="20"/>
                <w:szCs w:val="20"/>
              </w:rPr>
              <w:t>NBSF*</w:t>
            </w:r>
            <w:r w:rsidR="00921C0E" w:rsidRPr="00CF6294">
              <w:rPr>
                <w:rFonts w:cstheme="minorHAnsi"/>
                <w:sz w:val="20"/>
                <w:szCs w:val="20"/>
                <w:vertAlign w:val="superscript"/>
              </w:rPr>
              <w:t>1</w:t>
            </w:r>
          </w:p>
        </w:tc>
        <w:tc>
          <w:tcPr>
            <w:tcW w:w="1563" w:type="dxa"/>
            <w:tcBorders>
              <w:top w:val="single" w:sz="18" w:space="0" w:color="FFFFFF" w:themeColor="background1"/>
              <w:left w:val="nil"/>
              <w:bottom w:val="single" w:sz="2" w:space="0" w:color="0070C0"/>
              <w:right w:val="nil"/>
            </w:tcBorders>
            <w:vAlign w:val="center"/>
          </w:tcPr>
          <w:p w14:paraId="26C654F4" w14:textId="77777777" w:rsidR="00921C0E" w:rsidRPr="00CF6294" w:rsidRDefault="00921C0E" w:rsidP="003A4AC2">
            <w:pPr>
              <w:jc w:val="right"/>
              <w:rPr>
                <w:rFonts w:cstheme="minorHAnsi"/>
                <w:sz w:val="20"/>
                <w:szCs w:val="20"/>
              </w:rPr>
            </w:pPr>
            <w:r w:rsidRPr="00CF6294">
              <w:rPr>
                <w:rFonts w:cstheme="minorHAnsi"/>
                <w:sz w:val="20"/>
                <w:szCs w:val="20"/>
              </w:rPr>
              <w:t xml:space="preserve">R$ </w:t>
            </w:r>
            <w:r w:rsidRPr="00CF6294">
              <w:rPr>
                <w:rFonts w:eastAsia="Calibri" w:cstheme="minorHAnsi"/>
                <w:color w:val="000000" w:themeColor="text1"/>
                <w:sz w:val="20"/>
                <w:szCs w:val="20"/>
              </w:rPr>
              <w:t>5,200,558.05</w:t>
            </w:r>
          </w:p>
        </w:tc>
        <w:tc>
          <w:tcPr>
            <w:tcW w:w="1724" w:type="dxa"/>
            <w:tcBorders>
              <w:top w:val="single" w:sz="18" w:space="0" w:color="FFFFFF" w:themeColor="background1"/>
              <w:left w:val="nil"/>
              <w:bottom w:val="single" w:sz="2" w:space="0" w:color="0070C0"/>
              <w:right w:val="nil"/>
            </w:tcBorders>
            <w:vAlign w:val="center"/>
          </w:tcPr>
          <w:p w14:paraId="21B5CB91" w14:textId="78F6D079" w:rsidR="00921C0E" w:rsidRPr="00CF6294" w:rsidRDefault="00940AB4" w:rsidP="003A4AC2">
            <w:pPr>
              <w:jc w:val="right"/>
              <w:rPr>
                <w:rFonts w:cstheme="minorHAnsi"/>
                <w:sz w:val="20"/>
                <w:szCs w:val="20"/>
              </w:rPr>
            </w:pPr>
            <w:r w:rsidRPr="00CF6294">
              <w:rPr>
                <w:rFonts w:cstheme="minorHAnsi"/>
                <w:sz w:val="20"/>
                <w:szCs w:val="20"/>
              </w:rPr>
              <w:t>None</w:t>
            </w:r>
          </w:p>
        </w:tc>
      </w:tr>
      <w:tr w:rsidR="00921C0E" w:rsidRPr="00CF6294" w14:paraId="267F5A27" w14:textId="77777777" w:rsidTr="00CF6294">
        <w:trPr>
          <w:jc w:val="center"/>
        </w:trPr>
        <w:tc>
          <w:tcPr>
            <w:tcW w:w="2812" w:type="dxa"/>
            <w:gridSpan w:val="2"/>
            <w:tcBorders>
              <w:top w:val="single" w:sz="2" w:space="0" w:color="0070C0"/>
              <w:left w:val="nil"/>
              <w:bottom w:val="single" w:sz="2" w:space="0" w:color="0070C0"/>
              <w:right w:val="nil"/>
            </w:tcBorders>
          </w:tcPr>
          <w:p w14:paraId="3755D966" w14:textId="77777777" w:rsidR="00921C0E" w:rsidRPr="00CF6294" w:rsidRDefault="00921C0E" w:rsidP="003A4AC2">
            <w:pPr>
              <w:rPr>
                <w:rFonts w:eastAsia="Calibri" w:cstheme="minorHAnsi"/>
                <w:sz w:val="20"/>
                <w:szCs w:val="20"/>
              </w:rPr>
            </w:pPr>
            <w:r w:rsidRPr="00CF6294">
              <w:rPr>
                <w:rFonts w:eastAsia="Calibri" w:cstheme="minorHAnsi"/>
                <w:sz w:val="20"/>
                <w:szCs w:val="20"/>
              </w:rPr>
              <w:t>Non-monetary User-Union</w:t>
            </w:r>
          </w:p>
        </w:tc>
        <w:tc>
          <w:tcPr>
            <w:tcW w:w="2713" w:type="dxa"/>
            <w:tcBorders>
              <w:top w:val="single" w:sz="2" w:space="0" w:color="0070C0"/>
              <w:left w:val="nil"/>
              <w:bottom w:val="single" w:sz="2" w:space="0" w:color="0070C0"/>
              <w:right w:val="nil"/>
            </w:tcBorders>
            <w:vAlign w:val="center"/>
          </w:tcPr>
          <w:p w14:paraId="7381FD83" w14:textId="77777777" w:rsidR="00921C0E" w:rsidRPr="00CF6294" w:rsidRDefault="00921C0E" w:rsidP="003A4AC2">
            <w:pPr>
              <w:jc w:val="right"/>
              <w:rPr>
                <w:rFonts w:cstheme="minorHAnsi"/>
                <w:sz w:val="20"/>
                <w:szCs w:val="20"/>
              </w:rPr>
            </w:pPr>
            <w:r w:rsidRPr="00CF6294">
              <w:rPr>
                <w:rFonts w:cstheme="minorHAnsi"/>
                <w:sz w:val="20"/>
                <w:szCs w:val="20"/>
              </w:rPr>
              <w:t>Contracted projects*</w:t>
            </w:r>
            <w:r w:rsidRPr="00CF6294">
              <w:rPr>
                <w:rFonts w:cstheme="minorHAnsi"/>
                <w:sz w:val="20"/>
                <w:szCs w:val="20"/>
                <w:vertAlign w:val="superscript"/>
              </w:rPr>
              <w:t>2</w:t>
            </w:r>
          </w:p>
        </w:tc>
        <w:tc>
          <w:tcPr>
            <w:tcW w:w="1563" w:type="dxa"/>
            <w:tcBorders>
              <w:top w:val="single" w:sz="2" w:space="0" w:color="0070C0"/>
              <w:left w:val="nil"/>
              <w:bottom w:val="single" w:sz="2" w:space="0" w:color="0070C0"/>
              <w:right w:val="nil"/>
            </w:tcBorders>
            <w:vAlign w:val="center"/>
          </w:tcPr>
          <w:p w14:paraId="5CE7742A" w14:textId="77777777" w:rsidR="00921C0E" w:rsidRPr="00CF6294" w:rsidRDefault="00921C0E" w:rsidP="003A4AC2">
            <w:pPr>
              <w:jc w:val="right"/>
              <w:rPr>
                <w:rFonts w:cstheme="minorHAnsi"/>
                <w:sz w:val="20"/>
                <w:szCs w:val="20"/>
              </w:rPr>
            </w:pPr>
            <w:r w:rsidRPr="00CF6294">
              <w:rPr>
                <w:rFonts w:cstheme="minorHAnsi"/>
                <w:sz w:val="20"/>
                <w:szCs w:val="20"/>
              </w:rPr>
              <w:t xml:space="preserve">R$ </w:t>
            </w:r>
            <w:r w:rsidRPr="00CF6294">
              <w:rPr>
                <w:rFonts w:eastAsia="Calibri" w:cstheme="minorHAnsi"/>
                <w:sz w:val="20"/>
                <w:szCs w:val="20"/>
              </w:rPr>
              <w:t>1,310,699.37</w:t>
            </w:r>
          </w:p>
        </w:tc>
        <w:tc>
          <w:tcPr>
            <w:tcW w:w="1724" w:type="dxa"/>
            <w:tcBorders>
              <w:top w:val="single" w:sz="2" w:space="0" w:color="0070C0"/>
              <w:left w:val="nil"/>
              <w:bottom w:val="single" w:sz="2" w:space="0" w:color="0070C0"/>
              <w:right w:val="nil"/>
            </w:tcBorders>
            <w:vAlign w:val="center"/>
          </w:tcPr>
          <w:p w14:paraId="3660468D" w14:textId="340BE6DF" w:rsidR="00921C0E" w:rsidRPr="00CF6294" w:rsidRDefault="00940AB4" w:rsidP="003A4AC2">
            <w:pPr>
              <w:jc w:val="right"/>
              <w:rPr>
                <w:rFonts w:cstheme="minorHAnsi"/>
                <w:sz w:val="20"/>
                <w:szCs w:val="20"/>
              </w:rPr>
            </w:pPr>
            <w:r w:rsidRPr="00CF6294">
              <w:rPr>
                <w:rFonts w:cstheme="minorHAnsi"/>
                <w:sz w:val="20"/>
                <w:szCs w:val="20"/>
              </w:rPr>
              <w:t>None</w:t>
            </w:r>
          </w:p>
        </w:tc>
      </w:tr>
      <w:tr w:rsidR="00921C0E" w:rsidRPr="00CF6294" w14:paraId="2066CA38" w14:textId="77777777" w:rsidTr="00CF6294">
        <w:trPr>
          <w:jc w:val="center"/>
        </w:trPr>
        <w:tc>
          <w:tcPr>
            <w:tcW w:w="2812" w:type="dxa"/>
            <w:gridSpan w:val="2"/>
            <w:tcBorders>
              <w:top w:val="single" w:sz="2" w:space="0" w:color="0070C0"/>
              <w:left w:val="nil"/>
              <w:bottom w:val="single" w:sz="2" w:space="0" w:color="0070C0"/>
              <w:right w:val="nil"/>
            </w:tcBorders>
          </w:tcPr>
          <w:p w14:paraId="7EB25637" w14:textId="77777777" w:rsidR="00921C0E" w:rsidRPr="00CF6294" w:rsidRDefault="00921C0E" w:rsidP="003A4AC2">
            <w:pPr>
              <w:rPr>
                <w:rFonts w:cstheme="minorHAnsi"/>
                <w:sz w:val="20"/>
                <w:szCs w:val="20"/>
              </w:rPr>
            </w:pPr>
            <w:r w:rsidRPr="00CF6294">
              <w:rPr>
                <w:rFonts w:eastAsia="Calibri" w:cstheme="minorHAnsi"/>
                <w:sz w:val="20"/>
                <w:szCs w:val="20"/>
              </w:rPr>
              <w:t>Non-monetary User-Provider</w:t>
            </w:r>
          </w:p>
        </w:tc>
        <w:tc>
          <w:tcPr>
            <w:tcW w:w="2713" w:type="dxa"/>
            <w:tcBorders>
              <w:top w:val="single" w:sz="2" w:space="0" w:color="0070C0"/>
              <w:left w:val="nil"/>
              <w:bottom w:val="single" w:sz="2" w:space="0" w:color="0070C0"/>
              <w:right w:val="nil"/>
            </w:tcBorders>
            <w:vAlign w:val="center"/>
          </w:tcPr>
          <w:p w14:paraId="1AA28A32" w14:textId="77777777" w:rsidR="00921C0E" w:rsidRPr="00CF6294" w:rsidRDefault="00921C0E" w:rsidP="003A4AC2">
            <w:pPr>
              <w:jc w:val="right"/>
              <w:rPr>
                <w:rFonts w:cstheme="minorHAnsi"/>
                <w:sz w:val="20"/>
                <w:szCs w:val="20"/>
              </w:rPr>
            </w:pPr>
            <w:r w:rsidRPr="00CF6294">
              <w:rPr>
                <w:rFonts w:cstheme="minorHAnsi"/>
                <w:sz w:val="20"/>
                <w:szCs w:val="20"/>
              </w:rPr>
              <w:t>Contracted projects*</w:t>
            </w:r>
            <w:r w:rsidRPr="00CF6294">
              <w:rPr>
                <w:rFonts w:cstheme="minorHAnsi"/>
                <w:sz w:val="20"/>
                <w:szCs w:val="20"/>
                <w:vertAlign w:val="superscript"/>
              </w:rPr>
              <w:t>2</w:t>
            </w:r>
          </w:p>
        </w:tc>
        <w:tc>
          <w:tcPr>
            <w:tcW w:w="1563" w:type="dxa"/>
            <w:tcBorders>
              <w:top w:val="single" w:sz="2" w:space="0" w:color="0070C0"/>
              <w:left w:val="nil"/>
              <w:bottom w:val="single" w:sz="2" w:space="0" w:color="0070C0"/>
              <w:right w:val="nil"/>
            </w:tcBorders>
            <w:vAlign w:val="center"/>
          </w:tcPr>
          <w:p w14:paraId="689C70B6" w14:textId="77777777" w:rsidR="00921C0E" w:rsidRPr="00CF6294" w:rsidRDefault="00921C0E" w:rsidP="003A4AC2">
            <w:pPr>
              <w:jc w:val="right"/>
              <w:rPr>
                <w:rFonts w:cstheme="minorHAnsi"/>
                <w:sz w:val="20"/>
                <w:szCs w:val="20"/>
              </w:rPr>
            </w:pPr>
            <w:r w:rsidRPr="00CF6294">
              <w:rPr>
                <w:rFonts w:cstheme="minorHAnsi"/>
                <w:sz w:val="20"/>
                <w:szCs w:val="20"/>
              </w:rPr>
              <w:t xml:space="preserve"> R$121,975.16</w:t>
            </w:r>
          </w:p>
        </w:tc>
        <w:tc>
          <w:tcPr>
            <w:tcW w:w="1724" w:type="dxa"/>
            <w:tcBorders>
              <w:top w:val="single" w:sz="2" w:space="0" w:color="0070C0"/>
              <w:left w:val="nil"/>
              <w:bottom w:val="single" w:sz="2" w:space="0" w:color="0070C0"/>
              <w:right w:val="nil"/>
            </w:tcBorders>
            <w:vAlign w:val="center"/>
          </w:tcPr>
          <w:p w14:paraId="549CDA12" w14:textId="7F351C75" w:rsidR="00921C0E" w:rsidRPr="00CF6294" w:rsidRDefault="00940AB4" w:rsidP="003A4AC2">
            <w:pPr>
              <w:jc w:val="right"/>
              <w:rPr>
                <w:rFonts w:cstheme="minorHAnsi"/>
                <w:sz w:val="20"/>
                <w:szCs w:val="20"/>
              </w:rPr>
            </w:pPr>
            <w:r w:rsidRPr="00CF6294">
              <w:rPr>
                <w:rFonts w:cstheme="minorHAnsi"/>
                <w:sz w:val="20"/>
                <w:szCs w:val="20"/>
              </w:rPr>
              <w:t>None</w:t>
            </w:r>
          </w:p>
        </w:tc>
      </w:tr>
      <w:tr w:rsidR="00921C0E" w:rsidRPr="00CF6294" w14:paraId="0654BC07" w14:textId="77777777" w:rsidTr="00CF6294">
        <w:trPr>
          <w:jc w:val="center"/>
        </w:trPr>
        <w:tc>
          <w:tcPr>
            <w:tcW w:w="2812" w:type="dxa"/>
            <w:gridSpan w:val="2"/>
            <w:tcBorders>
              <w:top w:val="single" w:sz="2" w:space="0" w:color="0070C0"/>
              <w:left w:val="nil"/>
              <w:bottom w:val="single" w:sz="2" w:space="0" w:color="0070C0"/>
              <w:right w:val="nil"/>
            </w:tcBorders>
            <w:shd w:val="clear" w:color="auto" w:fill="B4C6E7" w:themeFill="accent1" w:themeFillTint="66"/>
          </w:tcPr>
          <w:p w14:paraId="22688C7B" w14:textId="77777777" w:rsidR="00921C0E" w:rsidRPr="00CF6294" w:rsidRDefault="00921C0E" w:rsidP="003A4AC2">
            <w:pPr>
              <w:rPr>
                <w:rFonts w:eastAsia="Calibri" w:cstheme="minorHAnsi"/>
                <w:sz w:val="20"/>
                <w:szCs w:val="20"/>
              </w:rPr>
            </w:pPr>
            <w:r w:rsidRPr="00CF6294">
              <w:rPr>
                <w:rFonts w:eastAsia="Calibri" w:cstheme="minorHAnsi"/>
                <w:sz w:val="20"/>
                <w:szCs w:val="20"/>
              </w:rPr>
              <w:t>Total</w:t>
            </w:r>
          </w:p>
        </w:tc>
        <w:tc>
          <w:tcPr>
            <w:tcW w:w="2713" w:type="dxa"/>
            <w:tcBorders>
              <w:top w:val="single" w:sz="2" w:space="0" w:color="0070C0"/>
              <w:left w:val="nil"/>
              <w:bottom w:val="single" w:sz="2" w:space="0" w:color="0070C0"/>
              <w:right w:val="nil"/>
            </w:tcBorders>
            <w:shd w:val="clear" w:color="auto" w:fill="B4C6E7" w:themeFill="accent1" w:themeFillTint="66"/>
            <w:vAlign w:val="center"/>
          </w:tcPr>
          <w:p w14:paraId="1FE1FEC3" w14:textId="77777777" w:rsidR="00921C0E" w:rsidRPr="00CF6294" w:rsidRDefault="00921C0E" w:rsidP="003A4AC2">
            <w:pPr>
              <w:jc w:val="right"/>
              <w:rPr>
                <w:rFonts w:cstheme="minorHAnsi"/>
                <w:sz w:val="20"/>
                <w:szCs w:val="20"/>
              </w:rPr>
            </w:pPr>
          </w:p>
        </w:tc>
        <w:tc>
          <w:tcPr>
            <w:tcW w:w="1563" w:type="dxa"/>
            <w:tcBorders>
              <w:top w:val="single" w:sz="2" w:space="0" w:color="0070C0"/>
              <w:left w:val="nil"/>
              <w:bottom w:val="single" w:sz="2" w:space="0" w:color="0070C0"/>
              <w:right w:val="nil"/>
            </w:tcBorders>
            <w:shd w:val="clear" w:color="auto" w:fill="B4C6E7" w:themeFill="accent1" w:themeFillTint="66"/>
            <w:vAlign w:val="center"/>
          </w:tcPr>
          <w:p w14:paraId="3BF73B88" w14:textId="77777777" w:rsidR="00921C0E" w:rsidRPr="00CF6294" w:rsidRDefault="00921C0E" w:rsidP="003A4AC2">
            <w:pPr>
              <w:jc w:val="right"/>
              <w:rPr>
                <w:rFonts w:cstheme="minorHAnsi"/>
                <w:sz w:val="20"/>
                <w:szCs w:val="20"/>
              </w:rPr>
            </w:pPr>
            <w:r w:rsidRPr="00CF6294">
              <w:rPr>
                <w:rFonts w:cstheme="minorHAnsi"/>
                <w:sz w:val="20"/>
                <w:szCs w:val="20"/>
              </w:rPr>
              <w:t>R$ 6,633,232.58</w:t>
            </w:r>
          </w:p>
        </w:tc>
        <w:tc>
          <w:tcPr>
            <w:tcW w:w="1724" w:type="dxa"/>
            <w:tcBorders>
              <w:top w:val="single" w:sz="2" w:space="0" w:color="0070C0"/>
              <w:left w:val="nil"/>
              <w:bottom w:val="single" w:sz="2" w:space="0" w:color="0070C0"/>
              <w:right w:val="nil"/>
            </w:tcBorders>
            <w:shd w:val="clear" w:color="auto" w:fill="B4C6E7" w:themeFill="accent1" w:themeFillTint="66"/>
            <w:vAlign w:val="center"/>
          </w:tcPr>
          <w:p w14:paraId="16B3AF32" w14:textId="766F15D6" w:rsidR="00921C0E" w:rsidRPr="00CF6294" w:rsidRDefault="00940AB4" w:rsidP="003A4AC2">
            <w:pPr>
              <w:jc w:val="right"/>
              <w:rPr>
                <w:rFonts w:cstheme="minorHAnsi"/>
                <w:sz w:val="20"/>
                <w:szCs w:val="20"/>
              </w:rPr>
            </w:pPr>
            <w:r w:rsidRPr="00CF6294">
              <w:rPr>
                <w:rFonts w:cstheme="minorHAnsi"/>
                <w:sz w:val="20"/>
                <w:szCs w:val="20"/>
              </w:rPr>
              <w:t>None</w:t>
            </w:r>
          </w:p>
        </w:tc>
      </w:tr>
    </w:tbl>
    <w:p w14:paraId="7BBE081E" w14:textId="77777777" w:rsidR="00921C0E" w:rsidRPr="00CF6294" w:rsidRDefault="00921C0E" w:rsidP="00CF6294">
      <w:pPr>
        <w:spacing w:after="0"/>
        <w:ind w:left="-426" w:firstLine="568"/>
        <w:jc w:val="both"/>
        <w:rPr>
          <w:rFonts w:cstheme="minorHAnsi"/>
          <w:sz w:val="20"/>
          <w:szCs w:val="20"/>
        </w:rPr>
      </w:pPr>
      <w:r w:rsidRPr="00CF6294">
        <w:rPr>
          <w:rFonts w:cstheme="minorHAnsi"/>
          <w:sz w:val="20"/>
          <w:szCs w:val="20"/>
        </w:rPr>
        <w:t>*</w:t>
      </w:r>
      <w:r w:rsidRPr="00CF6294">
        <w:rPr>
          <w:rFonts w:cstheme="minorHAnsi"/>
          <w:sz w:val="20"/>
          <w:szCs w:val="20"/>
          <w:vertAlign w:val="superscript"/>
        </w:rPr>
        <w:t xml:space="preserve">1 </w:t>
      </w:r>
      <w:r w:rsidRPr="00CF6294">
        <w:rPr>
          <w:rFonts w:cstheme="minorHAnsi"/>
          <w:sz w:val="20"/>
          <w:szCs w:val="20"/>
        </w:rPr>
        <w:t>Monetary contribution made by</w:t>
      </w:r>
      <w:r w:rsidRPr="00CF6294">
        <w:rPr>
          <w:rFonts w:cstheme="minorHAnsi"/>
          <w:sz w:val="20"/>
          <w:szCs w:val="20"/>
          <w:vertAlign w:val="superscript"/>
        </w:rPr>
        <w:t xml:space="preserve"> </w:t>
      </w:r>
      <w:r w:rsidRPr="00CF6294">
        <w:rPr>
          <w:rFonts w:cstheme="minorHAnsi"/>
          <w:sz w:val="20"/>
          <w:szCs w:val="20"/>
        </w:rPr>
        <w:t>users to the National Benefit Sharing Fund</w:t>
      </w:r>
    </w:p>
    <w:p w14:paraId="444A7437" w14:textId="3C91E500" w:rsidR="00921C0E" w:rsidRPr="00CF6294" w:rsidRDefault="00921C0E" w:rsidP="00CF6294">
      <w:pPr>
        <w:spacing w:after="0"/>
        <w:ind w:left="-426" w:firstLine="568"/>
        <w:jc w:val="both"/>
        <w:rPr>
          <w:rFonts w:cstheme="minorHAnsi"/>
          <w:sz w:val="20"/>
          <w:szCs w:val="20"/>
        </w:rPr>
      </w:pPr>
      <w:r w:rsidRPr="00CF6294">
        <w:rPr>
          <w:rFonts w:cstheme="minorHAnsi"/>
          <w:sz w:val="20"/>
          <w:szCs w:val="20"/>
        </w:rPr>
        <w:t>*</w:t>
      </w:r>
      <w:r w:rsidRPr="00CF6294">
        <w:rPr>
          <w:rFonts w:cstheme="minorHAnsi"/>
          <w:sz w:val="20"/>
          <w:szCs w:val="20"/>
          <w:vertAlign w:val="superscript"/>
        </w:rPr>
        <w:t xml:space="preserve">2 </w:t>
      </w:r>
      <w:r w:rsidR="00C72389" w:rsidRPr="00CF6294">
        <w:rPr>
          <w:rFonts w:cstheme="minorHAnsi"/>
          <w:sz w:val="20"/>
          <w:szCs w:val="20"/>
        </w:rPr>
        <w:t>Corresponding m</w:t>
      </w:r>
      <w:r w:rsidRPr="00CF6294">
        <w:rPr>
          <w:rFonts w:cstheme="minorHAnsi"/>
          <w:sz w:val="20"/>
          <w:szCs w:val="20"/>
        </w:rPr>
        <w:t xml:space="preserve">onetary </w:t>
      </w:r>
      <w:r w:rsidR="00A7718A" w:rsidRPr="00CF6294">
        <w:rPr>
          <w:rFonts w:cstheme="minorHAnsi"/>
          <w:sz w:val="20"/>
          <w:szCs w:val="20"/>
        </w:rPr>
        <w:t>value</w:t>
      </w:r>
      <w:r w:rsidRPr="00CF6294">
        <w:rPr>
          <w:rFonts w:cstheme="minorHAnsi"/>
          <w:sz w:val="20"/>
          <w:szCs w:val="20"/>
        </w:rPr>
        <w:t xml:space="preserve"> of the </w:t>
      </w:r>
      <w:r w:rsidR="004B08FD" w:rsidRPr="00CF6294">
        <w:rPr>
          <w:rFonts w:cstheme="minorHAnsi"/>
          <w:sz w:val="20"/>
          <w:szCs w:val="20"/>
        </w:rPr>
        <w:t>signed</w:t>
      </w:r>
      <w:r w:rsidR="000901AB" w:rsidRPr="00CF6294">
        <w:rPr>
          <w:rFonts w:cstheme="minorHAnsi"/>
          <w:sz w:val="20"/>
          <w:szCs w:val="20"/>
        </w:rPr>
        <w:t xml:space="preserve"> </w:t>
      </w:r>
      <w:r w:rsidR="00FB0ECC" w:rsidRPr="00CF6294">
        <w:rPr>
          <w:rFonts w:cstheme="minorHAnsi"/>
          <w:sz w:val="20"/>
          <w:szCs w:val="20"/>
        </w:rPr>
        <w:t xml:space="preserve">non-monetary BS </w:t>
      </w:r>
      <w:r w:rsidRPr="00CF6294">
        <w:rPr>
          <w:rFonts w:cstheme="minorHAnsi"/>
          <w:sz w:val="20"/>
          <w:szCs w:val="20"/>
        </w:rPr>
        <w:t xml:space="preserve">contracts </w:t>
      </w:r>
      <w:r w:rsidR="004B08FD" w:rsidRPr="00CF6294">
        <w:rPr>
          <w:rFonts w:cstheme="minorHAnsi"/>
          <w:sz w:val="20"/>
          <w:szCs w:val="20"/>
        </w:rPr>
        <w:t>U</w:t>
      </w:r>
      <w:r w:rsidRPr="00CF6294">
        <w:rPr>
          <w:rFonts w:cstheme="minorHAnsi"/>
          <w:sz w:val="20"/>
          <w:szCs w:val="20"/>
        </w:rPr>
        <w:t>ser</w:t>
      </w:r>
      <w:r w:rsidR="004B08FD" w:rsidRPr="00CF6294">
        <w:rPr>
          <w:rFonts w:cstheme="minorHAnsi"/>
          <w:sz w:val="20"/>
          <w:szCs w:val="20"/>
        </w:rPr>
        <w:t>-Union and User-Provider</w:t>
      </w:r>
    </w:p>
    <w:p w14:paraId="77592BA2" w14:textId="1AF4CDD5" w:rsidR="00921C0E" w:rsidRPr="00CF6294" w:rsidRDefault="00921C0E" w:rsidP="00CF6294">
      <w:pPr>
        <w:spacing w:after="0"/>
        <w:ind w:left="-426" w:firstLine="568"/>
        <w:jc w:val="both"/>
        <w:rPr>
          <w:rFonts w:cstheme="minorHAnsi"/>
          <w:sz w:val="20"/>
          <w:szCs w:val="20"/>
        </w:rPr>
      </w:pPr>
      <w:r w:rsidRPr="00CF6294">
        <w:rPr>
          <w:rFonts w:cstheme="minorHAnsi"/>
          <w:sz w:val="20"/>
          <w:szCs w:val="20"/>
        </w:rPr>
        <w:t>*</w:t>
      </w:r>
      <w:r w:rsidRPr="00CF6294">
        <w:rPr>
          <w:rFonts w:cstheme="minorHAnsi"/>
          <w:sz w:val="20"/>
          <w:szCs w:val="20"/>
          <w:vertAlign w:val="superscript"/>
        </w:rPr>
        <w:t>3</w:t>
      </w:r>
      <w:r w:rsidRPr="00CF6294">
        <w:rPr>
          <w:rFonts w:cstheme="minorHAnsi"/>
          <w:sz w:val="20"/>
          <w:szCs w:val="20"/>
        </w:rPr>
        <w:t xml:space="preserve"> Status on August 31, 2022</w:t>
      </w:r>
    </w:p>
    <w:p w14:paraId="3C892831" w14:textId="72D5D55D" w:rsidR="00921C0E" w:rsidRPr="00CF6294" w:rsidRDefault="00921C0E" w:rsidP="00CF6294">
      <w:pPr>
        <w:spacing w:after="0"/>
        <w:ind w:left="-426" w:firstLine="568"/>
        <w:jc w:val="both"/>
        <w:rPr>
          <w:rFonts w:cstheme="minorHAnsi"/>
          <w:sz w:val="20"/>
          <w:szCs w:val="20"/>
        </w:rPr>
      </w:pPr>
      <w:r w:rsidRPr="00CF6294">
        <w:rPr>
          <w:rFonts w:cstheme="minorHAnsi"/>
          <w:sz w:val="20"/>
          <w:szCs w:val="20"/>
        </w:rPr>
        <w:t>*</w:t>
      </w:r>
      <w:r w:rsidRPr="00CF6294">
        <w:rPr>
          <w:rFonts w:cstheme="minorHAnsi"/>
          <w:sz w:val="20"/>
          <w:szCs w:val="20"/>
          <w:vertAlign w:val="superscript"/>
        </w:rPr>
        <w:t>4</w:t>
      </w:r>
      <w:r w:rsidRPr="00CF6294">
        <w:rPr>
          <w:rFonts w:cstheme="minorHAnsi"/>
          <w:sz w:val="20"/>
          <w:szCs w:val="20"/>
        </w:rPr>
        <w:t xml:space="preserve"> Benefit sharing resources invested in sustainable use and conservation projects</w:t>
      </w:r>
      <w:r w:rsidR="000A30F7" w:rsidRPr="00CF6294">
        <w:rPr>
          <w:rFonts w:cstheme="minorHAnsi"/>
          <w:sz w:val="20"/>
          <w:szCs w:val="20"/>
        </w:rPr>
        <w:t xml:space="preserve"> up to</w:t>
      </w:r>
      <w:r w:rsidRPr="00CF6294">
        <w:rPr>
          <w:rFonts w:cstheme="minorHAnsi"/>
          <w:sz w:val="20"/>
          <w:szCs w:val="20"/>
        </w:rPr>
        <w:t xml:space="preserve"> August 31, 2022</w:t>
      </w:r>
    </w:p>
    <w:p w14:paraId="32EBD4E5" w14:textId="77777777" w:rsidR="00921C0E" w:rsidRPr="00CF6294" w:rsidRDefault="00921C0E" w:rsidP="00921C0E">
      <w:pPr>
        <w:spacing w:after="0"/>
        <w:ind w:left="-426" w:firstLine="142"/>
        <w:jc w:val="both"/>
        <w:rPr>
          <w:rFonts w:cstheme="minorHAnsi"/>
          <w:sz w:val="20"/>
          <w:szCs w:val="20"/>
        </w:rPr>
      </w:pPr>
    </w:p>
    <w:p w14:paraId="7B2C20B8" w14:textId="4FD07E61" w:rsidR="000A30F7" w:rsidRDefault="000A30F7" w:rsidP="000A30F7">
      <w:pPr>
        <w:spacing w:line="257" w:lineRule="auto"/>
      </w:pPr>
      <w:r>
        <w:t>As mentioned in section 3.1.2, non-monetary benefit sharing projects have not yet been initiated. The actual benefit generated by the Brazilian ABS policy is therefore equal or smaller than the total value</w:t>
      </w:r>
      <w:r w:rsidRPr="007F0C30">
        <w:t xml:space="preserve"> </w:t>
      </w:r>
      <w:r>
        <w:t xml:space="preserve">of benefit sharing </w:t>
      </w:r>
      <w:r w:rsidRPr="007F0C30">
        <w:t xml:space="preserve">shown in Table </w:t>
      </w:r>
      <w:r w:rsidR="00CF6294">
        <w:t>III</w:t>
      </w:r>
      <w:r>
        <w:t xml:space="preserve">. That amount must be understood as a ceiling for the actual policy benefit.  </w:t>
      </w:r>
    </w:p>
    <w:p w14:paraId="02A864C1" w14:textId="67B67EED" w:rsidR="00B62F62" w:rsidRDefault="005A2FEC" w:rsidP="00B62F62">
      <w:pPr>
        <w:spacing w:line="257" w:lineRule="auto"/>
        <w:rPr>
          <w:rFonts w:ascii="Calibri" w:eastAsia="Calibri" w:hAnsi="Calibri" w:cs="Calibri"/>
        </w:rPr>
      </w:pPr>
      <w:r>
        <w:rPr>
          <w:rFonts w:ascii="Calibri" w:eastAsia="Calibri" w:hAnsi="Calibri" w:cs="Calibri"/>
        </w:rPr>
        <w:t>Table I</w:t>
      </w:r>
      <w:r w:rsidR="00F1613E">
        <w:rPr>
          <w:rFonts w:ascii="Calibri" w:eastAsia="Calibri" w:hAnsi="Calibri" w:cs="Calibri"/>
        </w:rPr>
        <w:t>V</w:t>
      </w:r>
      <w:r>
        <w:rPr>
          <w:rFonts w:ascii="Calibri" w:eastAsia="Calibri" w:hAnsi="Calibri" w:cs="Calibri"/>
        </w:rPr>
        <w:t xml:space="preserve"> shows that u</w:t>
      </w:r>
      <w:r w:rsidR="00B62F62" w:rsidRPr="00BE45DF">
        <w:rPr>
          <w:rFonts w:ascii="Calibri" w:eastAsia="Calibri" w:hAnsi="Calibri" w:cs="Calibri"/>
        </w:rPr>
        <w:t xml:space="preserve">ntil the end of August 2022, </w:t>
      </w:r>
      <w:r w:rsidR="00B7642E">
        <w:rPr>
          <w:rFonts w:ascii="Calibri" w:eastAsia="Calibri" w:hAnsi="Calibri" w:cs="Calibri"/>
        </w:rPr>
        <w:t xml:space="preserve">benefit sharing </w:t>
      </w:r>
      <w:r w:rsidR="00517D70">
        <w:rPr>
          <w:rFonts w:ascii="Calibri" w:eastAsia="Calibri" w:hAnsi="Calibri" w:cs="Calibri"/>
        </w:rPr>
        <w:t>resour</w:t>
      </w:r>
      <w:r w:rsidR="00FC784D">
        <w:rPr>
          <w:rFonts w:ascii="Calibri" w:eastAsia="Calibri" w:hAnsi="Calibri" w:cs="Calibri"/>
        </w:rPr>
        <w:t>ces</w:t>
      </w:r>
      <w:r w:rsidR="00B62F62" w:rsidRPr="00BE45DF">
        <w:rPr>
          <w:rFonts w:ascii="Calibri" w:eastAsia="Calibri" w:hAnsi="Calibri" w:cs="Calibri"/>
        </w:rPr>
        <w:t xml:space="preserve"> ha</w:t>
      </w:r>
      <w:r w:rsidR="00D7080E">
        <w:rPr>
          <w:rFonts w:ascii="Calibri" w:eastAsia="Calibri" w:hAnsi="Calibri" w:cs="Calibri"/>
        </w:rPr>
        <w:t>d</w:t>
      </w:r>
      <w:r w:rsidR="00B62F62" w:rsidRPr="00BE45DF">
        <w:rPr>
          <w:rFonts w:ascii="Calibri" w:eastAsia="Calibri" w:hAnsi="Calibri" w:cs="Calibri"/>
        </w:rPr>
        <w:t xml:space="preserve"> not </w:t>
      </w:r>
      <w:r w:rsidR="006C695E">
        <w:rPr>
          <w:rFonts w:ascii="Calibri" w:eastAsia="Calibri" w:hAnsi="Calibri" w:cs="Calibri"/>
        </w:rPr>
        <w:t>been invested</w:t>
      </w:r>
      <w:r w:rsidR="00F84108">
        <w:rPr>
          <w:rFonts w:ascii="Calibri" w:eastAsia="Calibri" w:hAnsi="Calibri" w:cs="Calibri"/>
        </w:rPr>
        <w:t xml:space="preserve"> in </w:t>
      </w:r>
      <w:r w:rsidR="00BA4925">
        <w:rPr>
          <w:rFonts w:ascii="Calibri" w:eastAsia="Calibri" w:hAnsi="Calibri" w:cs="Calibri"/>
        </w:rPr>
        <w:t xml:space="preserve">biodiversity </w:t>
      </w:r>
      <w:r w:rsidR="00B62F62" w:rsidRPr="00BE45DF">
        <w:rPr>
          <w:rFonts w:ascii="Calibri" w:eastAsia="Calibri" w:hAnsi="Calibri" w:cs="Calibri"/>
        </w:rPr>
        <w:t xml:space="preserve">conservation </w:t>
      </w:r>
      <w:r w:rsidR="004600EC">
        <w:rPr>
          <w:rFonts w:ascii="Calibri" w:eastAsia="Calibri" w:hAnsi="Calibri" w:cs="Calibri"/>
        </w:rPr>
        <w:t xml:space="preserve">and </w:t>
      </w:r>
      <w:r w:rsidR="00B62F62" w:rsidRPr="00BE45DF">
        <w:rPr>
          <w:rFonts w:ascii="Calibri" w:eastAsia="Calibri" w:hAnsi="Calibri" w:cs="Calibri"/>
        </w:rPr>
        <w:t>sustainable use</w:t>
      </w:r>
      <w:r w:rsidR="00BA4925">
        <w:rPr>
          <w:rFonts w:ascii="Calibri" w:eastAsia="Calibri" w:hAnsi="Calibri" w:cs="Calibri"/>
        </w:rPr>
        <w:t xml:space="preserve"> projects</w:t>
      </w:r>
      <w:r w:rsidR="00B62F62" w:rsidRPr="00BE45DF">
        <w:rPr>
          <w:rFonts w:ascii="Calibri" w:eastAsia="Calibri" w:hAnsi="Calibri" w:cs="Calibri"/>
        </w:rPr>
        <w:t>.</w:t>
      </w:r>
    </w:p>
    <w:p w14:paraId="536AB176" w14:textId="77777777" w:rsidR="00310860" w:rsidRPr="006465B3" w:rsidRDefault="00310860" w:rsidP="00310860">
      <w:pPr>
        <w:spacing w:line="257" w:lineRule="auto"/>
        <w:rPr>
          <w:rFonts w:ascii="Calibri" w:eastAsia="Calibri" w:hAnsi="Calibri" w:cs="Calibri"/>
        </w:rPr>
      </w:pPr>
    </w:p>
    <w:p w14:paraId="3392F3E4" w14:textId="781E9231" w:rsidR="00271D67" w:rsidRPr="007B2BD4" w:rsidRDefault="00271D67" w:rsidP="00C016D0">
      <w:pPr>
        <w:pStyle w:val="Heading1"/>
        <w:numPr>
          <w:ilvl w:val="0"/>
          <w:numId w:val="3"/>
        </w:numPr>
        <w:rPr>
          <w:b/>
          <w:bCs/>
          <w:color w:val="0070C0"/>
          <w:sz w:val="28"/>
          <w:szCs w:val="28"/>
        </w:rPr>
      </w:pPr>
      <w:r w:rsidRPr="007B2BD4">
        <w:rPr>
          <w:b/>
          <w:bCs/>
          <w:color w:val="0070C0"/>
          <w:sz w:val="28"/>
          <w:szCs w:val="28"/>
        </w:rPr>
        <w:t xml:space="preserve">Regulatory </w:t>
      </w:r>
      <w:r w:rsidR="006013CB" w:rsidRPr="007B2BD4">
        <w:rPr>
          <w:b/>
          <w:bCs/>
          <w:color w:val="0070C0"/>
          <w:sz w:val="28"/>
          <w:szCs w:val="28"/>
        </w:rPr>
        <w:t xml:space="preserve">Compliance </w:t>
      </w:r>
      <w:r w:rsidRPr="007B2BD4">
        <w:rPr>
          <w:b/>
          <w:bCs/>
          <w:color w:val="0070C0"/>
          <w:sz w:val="28"/>
          <w:szCs w:val="28"/>
        </w:rPr>
        <w:t>Analysis</w:t>
      </w:r>
    </w:p>
    <w:p w14:paraId="1405B84E" w14:textId="77777777" w:rsidR="007C106F" w:rsidRDefault="007C106F" w:rsidP="00576558">
      <w:pPr>
        <w:spacing w:line="257" w:lineRule="auto"/>
        <w:rPr>
          <w:rFonts w:ascii="Calibri" w:eastAsia="Calibri" w:hAnsi="Calibri" w:cs="Calibri"/>
          <w:lang w:val="en"/>
        </w:rPr>
      </w:pPr>
    </w:p>
    <w:p w14:paraId="5BB2914D" w14:textId="55DA710F" w:rsidR="00B71F1C" w:rsidRPr="0092337F" w:rsidRDefault="007C106F" w:rsidP="00576558">
      <w:pPr>
        <w:spacing w:line="257" w:lineRule="auto"/>
        <w:rPr>
          <w:rFonts w:eastAsia="Calibri" w:cstheme="minorHAnsi"/>
          <w:lang w:val="en"/>
        </w:rPr>
      </w:pPr>
      <w:r w:rsidRPr="0092337F">
        <w:rPr>
          <w:rFonts w:eastAsia="Calibri" w:cstheme="minorHAnsi"/>
          <w:lang w:val="en"/>
        </w:rPr>
        <w:t xml:space="preserve">The Law 13,123/2015 brought new concepts related to the definition of GH, ATK, access and benefit sharing. Understanding them is essential for </w:t>
      </w:r>
      <w:r w:rsidR="00426F20" w:rsidRPr="0092337F">
        <w:rPr>
          <w:rFonts w:eastAsia="Calibri" w:cstheme="minorHAnsi"/>
          <w:lang w:val="en"/>
        </w:rPr>
        <w:t>users to ensure</w:t>
      </w:r>
      <w:r w:rsidRPr="0092337F">
        <w:rPr>
          <w:rFonts w:eastAsia="Calibri" w:cstheme="minorHAnsi"/>
          <w:lang w:val="en"/>
        </w:rPr>
        <w:t xml:space="preserve"> compliance. The key concepts </w:t>
      </w:r>
      <w:r w:rsidR="009944DB" w:rsidRPr="0092337F">
        <w:rPr>
          <w:rFonts w:eastAsia="Calibri" w:cstheme="minorHAnsi"/>
          <w:lang w:val="en"/>
        </w:rPr>
        <w:t>established by</w:t>
      </w:r>
      <w:r w:rsidR="00426F20" w:rsidRPr="0092337F">
        <w:rPr>
          <w:rFonts w:eastAsia="Calibri" w:cstheme="minorHAnsi"/>
          <w:lang w:val="en"/>
        </w:rPr>
        <w:t xml:space="preserve"> the</w:t>
      </w:r>
      <w:r w:rsidR="009944DB" w:rsidRPr="0092337F">
        <w:rPr>
          <w:rFonts w:eastAsia="Calibri" w:cstheme="minorHAnsi"/>
          <w:lang w:val="en"/>
        </w:rPr>
        <w:t xml:space="preserve"> law </w:t>
      </w:r>
      <w:r w:rsidRPr="0092337F">
        <w:rPr>
          <w:rFonts w:eastAsia="Calibri" w:cstheme="minorHAnsi"/>
          <w:lang w:val="en"/>
        </w:rPr>
        <w:t xml:space="preserve">are shared </w:t>
      </w:r>
      <w:r w:rsidR="00426F20" w:rsidRPr="0092337F">
        <w:rPr>
          <w:rFonts w:eastAsia="Calibri" w:cstheme="minorHAnsi"/>
          <w:lang w:val="en"/>
        </w:rPr>
        <w:t>i</w:t>
      </w:r>
      <w:r w:rsidRPr="0092337F">
        <w:rPr>
          <w:rFonts w:eastAsia="Calibri" w:cstheme="minorHAnsi"/>
          <w:lang w:val="en"/>
        </w:rPr>
        <w:t xml:space="preserve">n Appendix </w:t>
      </w:r>
      <w:r w:rsidR="00FD5954" w:rsidRPr="0092337F">
        <w:rPr>
          <w:rFonts w:eastAsia="Calibri" w:cstheme="minorHAnsi"/>
          <w:lang w:val="en"/>
        </w:rPr>
        <w:t>C</w:t>
      </w:r>
      <w:r w:rsidRPr="0092337F">
        <w:rPr>
          <w:rFonts w:eastAsia="Calibri" w:cstheme="minorHAnsi"/>
          <w:lang w:val="en"/>
        </w:rPr>
        <w:t>.</w:t>
      </w:r>
    </w:p>
    <w:p w14:paraId="4E008A5A" w14:textId="77777777" w:rsidR="007C106F" w:rsidRPr="0092337F" w:rsidRDefault="007C106F" w:rsidP="00576558">
      <w:pPr>
        <w:spacing w:line="257" w:lineRule="auto"/>
        <w:rPr>
          <w:rFonts w:eastAsia="Calibri" w:cstheme="minorHAnsi"/>
          <w:lang w:val="en"/>
        </w:rPr>
      </w:pPr>
    </w:p>
    <w:p w14:paraId="6D13BE9E" w14:textId="15CCCBBE" w:rsidR="00271D67" w:rsidRDefault="00271D67" w:rsidP="00C016D0">
      <w:pPr>
        <w:pStyle w:val="Heading2"/>
        <w:numPr>
          <w:ilvl w:val="1"/>
          <w:numId w:val="3"/>
        </w:numPr>
      </w:pPr>
      <w:r w:rsidRPr="00CC26C1">
        <w:rPr>
          <w:color w:val="0070C0"/>
        </w:rPr>
        <w:t xml:space="preserve">Compliance </w:t>
      </w:r>
      <w:r w:rsidR="006013CB">
        <w:rPr>
          <w:color w:val="0070C0"/>
        </w:rPr>
        <w:t>of</w:t>
      </w:r>
      <w:r w:rsidRPr="00CC26C1">
        <w:rPr>
          <w:color w:val="0070C0"/>
        </w:rPr>
        <w:t xml:space="preserve"> GH/ATK </w:t>
      </w:r>
      <w:r w:rsidR="009742B8">
        <w:rPr>
          <w:color w:val="0070C0"/>
        </w:rPr>
        <w:t>u</w:t>
      </w:r>
      <w:r w:rsidRPr="00CC26C1">
        <w:rPr>
          <w:color w:val="0070C0"/>
        </w:rPr>
        <w:t>sers</w:t>
      </w:r>
      <w:r w:rsidR="009742B8">
        <w:rPr>
          <w:color w:val="0070C0"/>
        </w:rPr>
        <w:t xml:space="preserve"> </w:t>
      </w:r>
      <w:r w:rsidR="009742B8" w:rsidRPr="009742B8">
        <w:rPr>
          <w:color w:val="0070C0"/>
        </w:rPr>
        <w:t>with registration obligations</w:t>
      </w:r>
    </w:p>
    <w:p w14:paraId="37A323F5" w14:textId="77777777" w:rsidR="006013CB" w:rsidRDefault="006013CB" w:rsidP="5590ED66">
      <w:pPr>
        <w:spacing w:line="257" w:lineRule="auto"/>
      </w:pPr>
    </w:p>
    <w:p w14:paraId="3643B25B" w14:textId="6EEA92AE" w:rsidR="00271D67" w:rsidRPr="0092337F" w:rsidRDefault="00271D67" w:rsidP="5590ED66">
      <w:pPr>
        <w:spacing w:line="257" w:lineRule="auto"/>
        <w:rPr>
          <w:rFonts w:eastAsia="Calibri" w:cstheme="minorHAnsi"/>
        </w:rPr>
      </w:pPr>
      <w:r w:rsidRPr="0092337F">
        <w:rPr>
          <w:rFonts w:eastAsia="Calibri" w:cstheme="minorHAnsi"/>
        </w:rPr>
        <w:t>SisGen became available online on November 6, 2017,</w:t>
      </w:r>
      <w:r w:rsidRPr="0092337F">
        <w:rPr>
          <w:rFonts w:eastAsia="Times New Roman" w:cstheme="minorHAnsi"/>
          <w:sz w:val="24"/>
          <w:szCs w:val="24"/>
        </w:rPr>
        <w:t xml:space="preserve"> </w:t>
      </w:r>
      <w:r w:rsidRPr="0092337F">
        <w:rPr>
          <w:rFonts w:eastAsia="Calibri" w:cstheme="minorHAnsi"/>
        </w:rPr>
        <w:t xml:space="preserve">allowing users to register their GH/ATK access. New </w:t>
      </w:r>
      <w:r w:rsidR="00B2200B" w:rsidRPr="0092337F">
        <w:rPr>
          <w:rFonts w:eastAsia="Calibri" w:cstheme="minorHAnsi"/>
        </w:rPr>
        <w:t>collection,</w:t>
      </w:r>
      <w:r w:rsidR="00320588" w:rsidRPr="0092337F">
        <w:rPr>
          <w:rFonts w:eastAsia="Calibri" w:cstheme="minorHAnsi"/>
        </w:rPr>
        <w:t xml:space="preserve"> shipment</w:t>
      </w:r>
      <w:r w:rsidR="00706581" w:rsidRPr="0092337F">
        <w:rPr>
          <w:rFonts w:eastAsia="Calibri" w:cstheme="minorHAnsi"/>
        </w:rPr>
        <w:t xml:space="preserve">, storage, </w:t>
      </w:r>
      <w:r w:rsidR="00B2200B" w:rsidRPr="0092337F">
        <w:rPr>
          <w:rFonts w:eastAsia="Calibri" w:cstheme="minorHAnsi"/>
        </w:rPr>
        <w:t xml:space="preserve">research, development and innovation </w:t>
      </w:r>
      <w:r w:rsidRPr="0092337F">
        <w:rPr>
          <w:rFonts w:eastAsia="Calibri" w:cstheme="minorHAnsi"/>
        </w:rPr>
        <w:t xml:space="preserve">activities </w:t>
      </w:r>
      <w:r w:rsidR="00B2200B" w:rsidRPr="0092337F">
        <w:rPr>
          <w:rFonts w:eastAsia="Calibri" w:cstheme="minorHAnsi"/>
        </w:rPr>
        <w:t xml:space="preserve">on the Brazilian biodiversity </w:t>
      </w:r>
      <w:r w:rsidRPr="0092337F">
        <w:rPr>
          <w:rFonts w:eastAsia="Calibri" w:cstheme="minorHAnsi"/>
        </w:rPr>
        <w:t>need to be registered retroactive</w:t>
      </w:r>
      <w:r w:rsidR="009742B8" w:rsidRPr="0092337F">
        <w:rPr>
          <w:rFonts w:eastAsia="Calibri" w:cstheme="minorHAnsi"/>
        </w:rPr>
        <w:t>ly</w:t>
      </w:r>
      <w:r w:rsidRPr="0092337F">
        <w:rPr>
          <w:rFonts w:eastAsia="Calibri" w:cstheme="minorHAnsi"/>
        </w:rPr>
        <w:t xml:space="preserve"> to November 2015, when Law 13,123 came into force. However, for those users </w:t>
      </w:r>
      <w:r w:rsidR="009742B8" w:rsidRPr="0092337F">
        <w:rPr>
          <w:rFonts w:eastAsia="Calibri" w:cstheme="minorHAnsi"/>
        </w:rPr>
        <w:t>who did not</w:t>
      </w:r>
      <w:r w:rsidRPr="0092337F">
        <w:rPr>
          <w:rFonts w:eastAsia="Calibri" w:cstheme="minorHAnsi"/>
        </w:rPr>
        <w:t xml:space="preserve"> compl</w:t>
      </w:r>
      <w:r w:rsidR="009742B8" w:rsidRPr="0092337F">
        <w:rPr>
          <w:rFonts w:eastAsia="Calibri" w:cstheme="minorHAnsi"/>
        </w:rPr>
        <w:t xml:space="preserve">y with the </w:t>
      </w:r>
      <w:r w:rsidRPr="0092337F">
        <w:rPr>
          <w:rFonts w:eastAsia="Calibri" w:cstheme="minorHAnsi"/>
        </w:rPr>
        <w:t>Provisional Measure</w:t>
      </w:r>
      <w:r w:rsidR="00D46D1D" w:rsidRPr="0092337F">
        <w:rPr>
          <w:rFonts w:eastAsia="Calibri" w:cstheme="minorHAnsi"/>
        </w:rPr>
        <w:t>,</w:t>
      </w:r>
      <w:r w:rsidRPr="0092337F">
        <w:rPr>
          <w:rFonts w:eastAsia="Calibri" w:cstheme="minorHAnsi"/>
        </w:rPr>
        <w:t xml:space="preserve"> the registration needed to be retroactive to June 2000, via </w:t>
      </w:r>
      <w:r w:rsidR="00D46D1D" w:rsidRPr="0092337F">
        <w:rPr>
          <w:rFonts w:eastAsia="Calibri" w:cstheme="minorHAnsi"/>
        </w:rPr>
        <w:t xml:space="preserve">a </w:t>
      </w:r>
      <w:r w:rsidRPr="0092337F">
        <w:rPr>
          <w:rFonts w:eastAsia="Calibri" w:cstheme="minorHAnsi"/>
        </w:rPr>
        <w:t xml:space="preserve">regularization procedure, and a Term of Commitment (TC) between </w:t>
      </w:r>
      <w:r w:rsidR="00D46D1D" w:rsidRPr="0092337F">
        <w:rPr>
          <w:rFonts w:eastAsia="Calibri" w:cstheme="minorHAnsi"/>
        </w:rPr>
        <w:t xml:space="preserve">the </w:t>
      </w:r>
      <w:r w:rsidRPr="0092337F">
        <w:rPr>
          <w:rFonts w:eastAsia="Calibri" w:cstheme="minorHAnsi"/>
        </w:rPr>
        <w:t xml:space="preserve">user </w:t>
      </w:r>
      <w:r w:rsidR="00C016D0" w:rsidRPr="0092337F">
        <w:rPr>
          <w:rFonts w:eastAsia="Calibri" w:cstheme="minorHAnsi"/>
        </w:rPr>
        <w:t xml:space="preserve">and </w:t>
      </w:r>
      <w:r w:rsidRPr="0092337F">
        <w:rPr>
          <w:rFonts w:eastAsia="Calibri" w:cstheme="minorHAnsi"/>
        </w:rPr>
        <w:t>the Government</w:t>
      </w:r>
      <w:r w:rsidR="006A1BAD" w:rsidRPr="0092337F">
        <w:rPr>
          <w:rFonts w:eastAsia="Calibri" w:cstheme="minorHAnsi"/>
        </w:rPr>
        <w:t>,</w:t>
      </w:r>
      <w:r w:rsidRPr="0092337F">
        <w:rPr>
          <w:rFonts w:eastAsia="Calibri" w:cstheme="minorHAnsi"/>
        </w:rPr>
        <w:t xml:space="preserve"> represented by the Ministry of the Environment</w:t>
      </w:r>
      <w:r w:rsidR="006A1BAD" w:rsidRPr="0092337F">
        <w:rPr>
          <w:rFonts w:eastAsia="Calibri" w:cstheme="minorHAnsi"/>
        </w:rPr>
        <w:t>,</w:t>
      </w:r>
      <w:r w:rsidRPr="0092337F">
        <w:rPr>
          <w:rFonts w:eastAsia="Calibri" w:cstheme="minorHAnsi"/>
        </w:rPr>
        <w:t xml:space="preserve"> needed to be signed. </w:t>
      </w:r>
    </w:p>
    <w:p w14:paraId="0728E3F0" w14:textId="2226B040" w:rsidR="00381DF8" w:rsidRPr="0092337F" w:rsidRDefault="00414E1C" w:rsidP="00381DF8">
      <w:pPr>
        <w:spacing w:line="257" w:lineRule="auto"/>
        <w:rPr>
          <w:rFonts w:eastAsia="Calibri" w:cstheme="minorHAnsi"/>
          <w:lang w:val="en"/>
        </w:rPr>
      </w:pPr>
      <w:r w:rsidRPr="0092337F">
        <w:rPr>
          <w:rFonts w:eastAsia="Calibri" w:cstheme="minorHAnsi"/>
        </w:rPr>
        <w:t>The registr</w:t>
      </w:r>
      <w:r w:rsidR="00C36050" w:rsidRPr="0092337F">
        <w:rPr>
          <w:rFonts w:eastAsia="Calibri" w:cstheme="minorHAnsi"/>
        </w:rPr>
        <w:t xml:space="preserve">ation must be undertaken by any individual </w:t>
      </w:r>
      <w:r w:rsidR="00426F20" w:rsidRPr="0092337F">
        <w:rPr>
          <w:rFonts w:eastAsia="Calibri" w:cstheme="minorHAnsi"/>
        </w:rPr>
        <w:t xml:space="preserve">or </w:t>
      </w:r>
      <w:r w:rsidR="00706581" w:rsidRPr="0092337F">
        <w:rPr>
          <w:rFonts w:eastAsia="Calibri" w:cstheme="minorHAnsi"/>
        </w:rPr>
        <w:t xml:space="preserve">institution working with </w:t>
      </w:r>
      <w:r w:rsidR="00381DF8" w:rsidRPr="0092337F">
        <w:rPr>
          <w:rFonts w:eastAsia="Calibri" w:cstheme="minorHAnsi"/>
        </w:rPr>
        <w:t>B</w:t>
      </w:r>
      <w:r w:rsidR="00706581" w:rsidRPr="0092337F">
        <w:rPr>
          <w:rFonts w:eastAsia="Calibri" w:cstheme="minorHAnsi"/>
        </w:rPr>
        <w:t xml:space="preserve">razilian </w:t>
      </w:r>
      <w:r w:rsidR="00381DF8" w:rsidRPr="0092337F">
        <w:rPr>
          <w:rFonts w:eastAsia="Calibri" w:cstheme="minorHAnsi"/>
        </w:rPr>
        <w:t>g</w:t>
      </w:r>
      <w:r w:rsidR="00706581" w:rsidRPr="0092337F">
        <w:rPr>
          <w:rFonts w:eastAsia="Calibri" w:cstheme="minorHAnsi"/>
        </w:rPr>
        <w:t xml:space="preserve">enetic </w:t>
      </w:r>
      <w:r w:rsidR="00381DF8" w:rsidRPr="0092337F">
        <w:rPr>
          <w:rFonts w:eastAsia="Calibri" w:cstheme="minorHAnsi"/>
        </w:rPr>
        <w:t>h</w:t>
      </w:r>
      <w:r w:rsidR="00706581" w:rsidRPr="0092337F">
        <w:rPr>
          <w:rFonts w:eastAsia="Calibri" w:cstheme="minorHAnsi"/>
        </w:rPr>
        <w:t>eritage</w:t>
      </w:r>
      <w:r w:rsidR="00381DF8" w:rsidRPr="0092337F">
        <w:rPr>
          <w:rFonts w:eastAsia="Calibri" w:cstheme="minorHAnsi"/>
        </w:rPr>
        <w:t xml:space="preserve">. </w:t>
      </w:r>
      <w:r w:rsidR="00426F20" w:rsidRPr="0092337F">
        <w:rPr>
          <w:rFonts w:eastAsia="Calibri" w:cstheme="minorHAnsi"/>
          <w:lang w:val="en"/>
        </w:rPr>
        <w:t>U</w:t>
      </w:r>
      <w:r w:rsidR="00381DF8" w:rsidRPr="0092337F">
        <w:rPr>
          <w:rFonts w:eastAsia="Calibri" w:cstheme="minorHAnsi"/>
          <w:lang w:val="en"/>
        </w:rPr>
        <w:t xml:space="preserve">p to </w:t>
      </w:r>
      <w:r w:rsidR="004F3B6C" w:rsidRPr="0092337F">
        <w:rPr>
          <w:rFonts w:eastAsia="Calibri" w:cstheme="minorHAnsi"/>
          <w:lang w:val="en"/>
        </w:rPr>
        <w:t xml:space="preserve">August </w:t>
      </w:r>
      <w:r w:rsidR="00381DF8" w:rsidRPr="0092337F">
        <w:rPr>
          <w:rFonts w:eastAsia="Calibri" w:cstheme="minorHAnsi"/>
          <w:lang w:val="en"/>
        </w:rPr>
        <w:t xml:space="preserve">2022, SisGen was not available to </w:t>
      </w:r>
      <w:r w:rsidR="00320588" w:rsidRPr="0092337F">
        <w:rPr>
          <w:rFonts w:eastAsia="Calibri" w:cstheme="minorHAnsi"/>
          <w:lang w:val="en"/>
        </w:rPr>
        <w:t xml:space="preserve">foreign </w:t>
      </w:r>
      <w:r w:rsidR="00E30785" w:rsidRPr="0092337F">
        <w:rPr>
          <w:rFonts w:eastAsia="Calibri" w:cstheme="minorHAnsi"/>
          <w:lang w:val="en"/>
        </w:rPr>
        <w:t xml:space="preserve">entities, and they are </w:t>
      </w:r>
      <w:r w:rsidR="00320588" w:rsidRPr="0092337F">
        <w:rPr>
          <w:rFonts w:eastAsia="Calibri" w:cstheme="minorHAnsi"/>
          <w:lang w:val="en"/>
        </w:rPr>
        <w:t xml:space="preserve">required to work via a local </w:t>
      </w:r>
      <w:r w:rsidR="00E30785" w:rsidRPr="0092337F">
        <w:rPr>
          <w:rFonts w:eastAsia="Calibri" w:cstheme="minorHAnsi"/>
          <w:lang w:val="en"/>
        </w:rPr>
        <w:t>organization</w:t>
      </w:r>
      <w:r w:rsidR="00320588" w:rsidRPr="0092337F">
        <w:rPr>
          <w:rFonts w:eastAsia="Calibri" w:cstheme="minorHAnsi"/>
          <w:lang w:val="en"/>
        </w:rPr>
        <w:t xml:space="preserve">, which creates additional legal hurdles and transaction costs.  </w:t>
      </w:r>
    </w:p>
    <w:p w14:paraId="6A290586" w14:textId="13E7FD3F" w:rsidR="00271D67" w:rsidRPr="006C4CE2" w:rsidRDefault="00271D67" w:rsidP="5590ED66">
      <w:pPr>
        <w:spacing w:line="257" w:lineRule="auto"/>
      </w:pPr>
      <w:r w:rsidRPr="006C4CE2">
        <w:rPr>
          <w:rFonts w:ascii="Calibri" w:eastAsia="Calibri" w:hAnsi="Calibri" w:cs="Calibri"/>
        </w:rPr>
        <w:t xml:space="preserve"> </w:t>
      </w:r>
    </w:p>
    <w:p w14:paraId="4082B6A0" w14:textId="5533D285" w:rsidR="00271D67" w:rsidRPr="00CC26C1" w:rsidRDefault="00271D67" w:rsidP="00C016D0">
      <w:pPr>
        <w:pStyle w:val="Heading3"/>
        <w:numPr>
          <w:ilvl w:val="2"/>
          <w:numId w:val="3"/>
        </w:numPr>
        <w:rPr>
          <w:color w:val="0070C0"/>
        </w:rPr>
      </w:pPr>
      <w:r w:rsidRPr="00CC26C1">
        <w:rPr>
          <w:color w:val="0070C0"/>
        </w:rPr>
        <w:lastRenderedPageBreak/>
        <w:t xml:space="preserve">GH/ATK </w:t>
      </w:r>
      <w:r w:rsidR="00C016D0">
        <w:rPr>
          <w:color w:val="0070C0"/>
        </w:rPr>
        <w:t>u</w:t>
      </w:r>
      <w:r w:rsidRPr="00CC26C1">
        <w:rPr>
          <w:color w:val="0070C0"/>
        </w:rPr>
        <w:t xml:space="preserve">ser </w:t>
      </w:r>
      <w:r w:rsidR="00C016D0">
        <w:rPr>
          <w:color w:val="0070C0"/>
        </w:rPr>
        <w:t>r</w:t>
      </w:r>
      <w:r w:rsidRPr="00CC26C1">
        <w:rPr>
          <w:color w:val="0070C0"/>
        </w:rPr>
        <w:t>egistration</w:t>
      </w:r>
      <w:r w:rsidR="00C016D0">
        <w:rPr>
          <w:color w:val="0070C0"/>
        </w:rPr>
        <w:t>s</w:t>
      </w:r>
    </w:p>
    <w:p w14:paraId="66928ADD" w14:textId="4144401F" w:rsidR="00271D67" w:rsidRPr="0092337F" w:rsidRDefault="00D46D1D" w:rsidP="5590ED66">
      <w:pPr>
        <w:spacing w:line="257" w:lineRule="auto"/>
        <w:rPr>
          <w:rFonts w:cstheme="minorHAnsi"/>
        </w:rPr>
      </w:pPr>
      <w:r w:rsidRPr="0092337F">
        <w:rPr>
          <w:rFonts w:eastAsia="Calibri" w:cstheme="minorHAnsi"/>
        </w:rPr>
        <w:t>Art. 2. of</w:t>
      </w:r>
      <w:r w:rsidR="00271D67" w:rsidRPr="0092337F">
        <w:rPr>
          <w:rFonts w:eastAsia="Calibri" w:cstheme="minorHAnsi"/>
        </w:rPr>
        <w:t xml:space="preserve"> Law 13,123/2015 defines a user </w:t>
      </w:r>
      <w:r w:rsidR="006D72B9" w:rsidRPr="0092337F">
        <w:rPr>
          <w:rFonts w:eastAsia="Calibri" w:cstheme="minorHAnsi"/>
        </w:rPr>
        <w:t>as</w:t>
      </w:r>
      <w:r w:rsidR="00271D67" w:rsidRPr="0092337F">
        <w:rPr>
          <w:rFonts w:eastAsia="Calibri" w:cstheme="minorHAnsi"/>
        </w:rPr>
        <w:t xml:space="preserve"> a natural or legal person who accesses GH or ATK or economically exploits </w:t>
      </w:r>
      <w:r w:rsidR="006D72B9" w:rsidRPr="0092337F">
        <w:rPr>
          <w:rFonts w:eastAsia="Calibri" w:cstheme="minorHAnsi"/>
        </w:rPr>
        <w:t xml:space="preserve">a </w:t>
      </w:r>
      <w:r w:rsidR="00271D67" w:rsidRPr="0092337F">
        <w:rPr>
          <w:rFonts w:eastAsia="Calibri" w:cstheme="minorHAnsi"/>
        </w:rPr>
        <w:t xml:space="preserve">finished product or reproductive material </w:t>
      </w:r>
      <w:r w:rsidRPr="0092337F">
        <w:rPr>
          <w:rFonts w:eastAsia="Calibri" w:cstheme="minorHAnsi"/>
        </w:rPr>
        <w:t>based on</w:t>
      </w:r>
      <w:r w:rsidR="00271D67" w:rsidRPr="0092337F">
        <w:rPr>
          <w:rFonts w:eastAsia="Calibri" w:cstheme="minorHAnsi"/>
        </w:rPr>
        <w:t xml:space="preserve"> access to Brazilian GH or ATK. Art. 11. § 1 of the legislation also expresses that access to the Brazilian GH and ATK by a foreign natural person is prohibited.</w:t>
      </w:r>
    </w:p>
    <w:p w14:paraId="3FA7C62D" w14:textId="7978AB22" w:rsidR="004F3B6C" w:rsidRPr="0092337F" w:rsidRDefault="00271D67" w:rsidP="004F3B6C">
      <w:pPr>
        <w:spacing w:line="257" w:lineRule="auto"/>
        <w:rPr>
          <w:rFonts w:eastAsia="Calibri" w:cstheme="minorHAnsi"/>
        </w:rPr>
      </w:pPr>
      <w:r w:rsidRPr="0092337F">
        <w:rPr>
          <w:rFonts w:eastAsia="Calibri" w:cstheme="minorHAnsi"/>
        </w:rPr>
        <w:t xml:space="preserve">Figure 1 shows that up </w:t>
      </w:r>
      <w:bookmarkStart w:id="9" w:name="_Int_D6q5sGFp"/>
      <w:r w:rsidRPr="0092337F">
        <w:rPr>
          <w:rFonts w:eastAsia="Calibri" w:cstheme="minorHAnsi"/>
        </w:rPr>
        <w:t>to August</w:t>
      </w:r>
      <w:bookmarkEnd w:id="9"/>
      <w:r w:rsidR="00D46D1D" w:rsidRPr="0092337F">
        <w:rPr>
          <w:rFonts w:eastAsia="Calibri" w:cstheme="minorHAnsi"/>
        </w:rPr>
        <w:t xml:space="preserve"> </w:t>
      </w:r>
      <w:r w:rsidRPr="0092337F">
        <w:rPr>
          <w:rFonts w:eastAsia="Calibri" w:cstheme="minorHAnsi"/>
        </w:rPr>
        <w:t>2022 there w</w:t>
      </w:r>
      <w:r w:rsidR="00D46D1D" w:rsidRPr="0092337F">
        <w:rPr>
          <w:rFonts w:eastAsia="Calibri" w:cstheme="minorHAnsi"/>
        </w:rPr>
        <w:t>as</w:t>
      </w:r>
      <w:r w:rsidRPr="0092337F">
        <w:rPr>
          <w:rFonts w:eastAsia="Calibri" w:cstheme="minorHAnsi"/>
        </w:rPr>
        <w:t xml:space="preserve"> a total of 31,294 GH/ATK users registered </w:t>
      </w:r>
      <w:r w:rsidR="00D46D1D" w:rsidRPr="0092337F">
        <w:rPr>
          <w:rFonts w:eastAsia="Calibri" w:cstheme="minorHAnsi"/>
        </w:rPr>
        <w:t>on</w:t>
      </w:r>
      <w:r w:rsidRPr="0092337F">
        <w:rPr>
          <w:rFonts w:eastAsia="Calibri" w:cstheme="minorHAnsi"/>
        </w:rPr>
        <w:t xml:space="preserve"> SisGen. </w:t>
      </w:r>
    </w:p>
    <w:p w14:paraId="23A578F9" w14:textId="499F8408" w:rsidR="00E30785" w:rsidRDefault="004F3B6C" w:rsidP="00D46D1D">
      <w:pPr>
        <w:spacing w:line="257" w:lineRule="auto"/>
        <w:rPr>
          <w:rFonts w:ascii="Calibri" w:eastAsia="Calibri" w:hAnsi="Calibri" w:cs="Calibri"/>
        </w:rPr>
      </w:pPr>
      <w:r>
        <w:rPr>
          <w:rFonts w:ascii="Calibri" w:eastAsia="Calibri" w:hAnsi="Calibri" w:cs="Calibri"/>
          <w:noProof/>
        </w:rPr>
        <w:drawing>
          <wp:inline distT="0" distB="0" distL="0" distR="0" wp14:anchorId="011EB4F4" wp14:editId="196EC59B">
            <wp:extent cx="5603240" cy="26263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3240" cy="2626360"/>
                    </a:xfrm>
                    <a:prstGeom prst="rect">
                      <a:avLst/>
                    </a:prstGeom>
                    <a:noFill/>
                    <a:ln>
                      <a:noFill/>
                    </a:ln>
                  </pic:spPr>
                </pic:pic>
              </a:graphicData>
            </a:graphic>
          </wp:inline>
        </w:drawing>
      </w:r>
    </w:p>
    <w:p w14:paraId="2FD0576D" w14:textId="2B238D6B" w:rsidR="00271D67" w:rsidRPr="00B71F1C" w:rsidRDefault="00271D67" w:rsidP="5590ED66">
      <w:pPr>
        <w:spacing w:line="257" w:lineRule="auto"/>
        <w:rPr>
          <w:i/>
          <w:iCs/>
        </w:rPr>
      </w:pPr>
      <w:r w:rsidRPr="54D28F68">
        <w:rPr>
          <w:rFonts w:ascii="Calibri" w:eastAsia="Calibri" w:hAnsi="Calibri" w:cs="Calibri"/>
          <w:b/>
          <w:bCs/>
          <w:sz w:val="20"/>
          <w:szCs w:val="20"/>
        </w:rPr>
        <w:t>Figure 1.</w:t>
      </w:r>
      <w:r w:rsidRPr="54D28F68">
        <w:rPr>
          <w:rFonts w:ascii="Calibri" w:eastAsia="Calibri" w:hAnsi="Calibri" w:cs="Calibri"/>
          <w:sz w:val="20"/>
          <w:szCs w:val="20"/>
        </w:rPr>
        <w:t xml:space="preserve"> </w:t>
      </w:r>
      <w:r w:rsidRPr="00B71F1C">
        <w:rPr>
          <w:rFonts w:ascii="Calibri" w:eastAsia="Calibri" w:hAnsi="Calibri" w:cs="Calibri"/>
          <w:i/>
          <w:iCs/>
          <w:sz w:val="20"/>
          <w:szCs w:val="20"/>
        </w:rPr>
        <w:t>Evolution of the number of accumulated registrations of GH and ATK users in SisGen. Period from Feb</w:t>
      </w:r>
      <w:r w:rsidR="00D46D1D">
        <w:rPr>
          <w:rFonts w:ascii="Calibri" w:eastAsia="Calibri" w:hAnsi="Calibri" w:cs="Calibri"/>
          <w:i/>
          <w:iCs/>
          <w:sz w:val="20"/>
          <w:szCs w:val="20"/>
        </w:rPr>
        <w:t xml:space="preserve">ruary </w:t>
      </w:r>
      <w:r w:rsidRPr="00B71F1C">
        <w:rPr>
          <w:rFonts w:ascii="Calibri" w:eastAsia="Calibri" w:hAnsi="Calibri" w:cs="Calibri"/>
          <w:i/>
          <w:iCs/>
          <w:sz w:val="20"/>
          <w:szCs w:val="20"/>
        </w:rPr>
        <w:t>2018 to Aug</w:t>
      </w:r>
      <w:r w:rsidR="00D46D1D">
        <w:rPr>
          <w:rFonts w:ascii="Calibri" w:eastAsia="Calibri" w:hAnsi="Calibri" w:cs="Calibri"/>
          <w:i/>
          <w:iCs/>
          <w:sz w:val="20"/>
          <w:szCs w:val="20"/>
        </w:rPr>
        <w:t xml:space="preserve">ust </w:t>
      </w:r>
      <w:r w:rsidRPr="00B71F1C">
        <w:rPr>
          <w:rFonts w:ascii="Calibri" w:eastAsia="Calibri" w:hAnsi="Calibri" w:cs="Calibri"/>
          <w:i/>
          <w:iCs/>
          <w:sz w:val="20"/>
          <w:szCs w:val="20"/>
        </w:rPr>
        <w:t xml:space="preserve">2022. Source: SisGen (LAI). </w:t>
      </w:r>
    </w:p>
    <w:p w14:paraId="1AA5C8AD" w14:textId="3AE5888F" w:rsidR="007E72B7" w:rsidRPr="0092337F" w:rsidRDefault="007E72B7" w:rsidP="007E72B7">
      <w:pPr>
        <w:spacing w:line="257" w:lineRule="auto"/>
        <w:rPr>
          <w:rFonts w:eastAsia="Calibri" w:cstheme="minorHAnsi"/>
        </w:rPr>
      </w:pPr>
      <w:r w:rsidRPr="0092337F">
        <w:rPr>
          <w:rFonts w:eastAsia="Calibri" w:cstheme="minorHAnsi"/>
        </w:rPr>
        <w:t xml:space="preserve">As highlighted in Figure 2-A, in December 2019, the total number of validated institutions </w:t>
      </w:r>
      <w:r w:rsidR="00A00F11" w:rsidRPr="0092337F">
        <w:rPr>
          <w:rFonts w:eastAsia="Calibri" w:cstheme="minorHAnsi"/>
        </w:rPr>
        <w:t xml:space="preserve">in the SisGen </w:t>
      </w:r>
      <w:r w:rsidRPr="0092337F">
        <w:rPr>
          <w:rFonts w:eastAsia="Calibri" w:cstheme="minorHAnsi"/>
        </w:rPr>
        <w:t>was 708, of which 440 or 62% were companies and 268 were academic institutions (Figure 2-B). In August 2022, the total number of registrations increased by 99, reaching 807. However, it is worth noting that after December 2019, the Ministry of the Environment reported that it no longer discloses the division of academic and business records claiming that “it is not possible to process this consultation, as there are no specific filters in the system to distinguish institutions linked to academia and the private sector”.</w:t>
      </w:r>
    </w:p>
    <w:p w14:paraId="17B92DC7" w14:textId="2FA20F3C" w:rsidR="006D72B9" w:rsidRPr="0092337F" w:rsidRDefault="006D72B9" w:rsidP="5590ED66">
      <w:pPr>
        <w:spacing w:line="257" w:lineRule="auto"/>
        <w:rPr>
          <w:rFonts w:eastAsia="Calibri" w:cstheme="minorHAnsi"/>
        </w:rPr>
      </w:pPr>
      <w:r w:rsidRPr="0092337F">
        <w:rPr>
          <w:rFonts w:eastAsia="Calibri" w:cstheme="minorHAnsi"/>
        </w:rPr>
        <w:t>The fluctuation in the numbers was not explained. As there are no reasons for an entity to</w:t>
      </w:r>
      <w:r w:rsidR="004F3B6C" w:rsidRPr="0092337F">
        <w:rPr>
          <w:rFonts w:eastAsia="Calibri" w:cstheme="minorHAnsi"/>
        </w:rPr>
        <w:t xml:space="preserve"> withdraw</w:t>
      </w:r>
      <w:r w:rsidRPr="0092337F">
        <w:rPr>
          <w:rFonts w:eastAsia="Calibri" w:cstheme="minorHAnsi"/>
        </w:rPr>
        <w:t xml:space="preserve"> its registration</w:t>
      </w:r>
      <w:r w:rsidR="00426F20" w:rsidRPr="0092337F">
        <w:rPr>
          <w:rFonts w:eastAsia="Calibri" w:cstheme="minorHAnsi"/>
        </w:rPr>
        <w:t>,</w:t>
      </w:r>
      <w:r w:rsidRPr="0092337F">
        <w:rPr>
          <w:rFonts w:eastAsia="Calibri" w:cstheme="minorHAnsi"/>
        </w:rPr>
        <w:t xml:space="preserve"> it may indicate that there were duplications or other errors</w:t>
      </w:r>
      <w:r w:rsidR="00426F20" w:rsidRPr="0092337F">
        <w:rPr>
          <w:rFonts w:eastAsia="Calibri" w:cstheme="minorHAnsi"/>
        </w:rPr>
        <w:t xml:space="preserve"> in the system</w:t>
      </w:r>
      <w:r w:rsidRPr="0092337F">
        <w:rPr>
          <w:rFonts w:eastAsia="Calibri" w:cstheme="minorHAnsi"/>
        </w:rPr>
        <w:t xml:space="preserve"> that were later corrected.</w:t>
      </w:r>
    </w:p>
    <w:p w14:paraId="0AF9A219" w14:textId="2A058AF7" w:rsidR="00271D67" w:rsidRPr="006C4CE2" w:rsidRDefault="001671DA" w:rsidP="5590ED66">
      <w:pPr>
        <w:spacing w:line="257" w:lineRule="auto"/>
        <w:rPr>
          <w:rFonts w:ascii="Calibri" w:eastAsia="Calibri" w:hAnsi="Calibri" w:cs="Calibri"/>
        </w:rPr>
      </w:pPr>
      <w:r>
        <w:rPr>
          <w:noProof/>
        </w:rPr>
        <w:lastRenderedPageBreak/>
        <w:drawing>
          <wp:inline distT="0" distB="0" distL="0" distR="0" wp14:anchorId="15E56C0C" wp14:editId="77B6E5CE">
            <wp:extent cx="5612130" cy="2875280"/>
            <wp:effectExtent l="0" t="0" r="7620" b="1270"/>
            <wp:docPr id="14" name="Picture 1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2130" cy="2875280"/>
                    </a:xfrm>
                    <a:prstGeom prst="rect">
                      <a:avLst/>
                    </a:prstGeom>
                    <a:noFill/>
                    <a:ln>
                      <a:noFill/>
                    </a:ln>
                  </pic:spPr>
                </pic:pic>
              </a:graphicData>
            </a:graphic>
          </wp:inline>
        </w:drawing>
      </w:r>
    </w:p>
    <w:p w14:paraId="31CAA8AB" w14:textId="25C86E2E" w:rsidR="00271D67" w:rsidRPr="006C4CE2" w:rsidRDefault="00271D67" w:rsidP="5590ED66">
      <w:pPr>
        <w:spacing w:line="257" w:lineRule="auto"/>
      </w:pPr>
      <w:r w:rsidRPr="006C4CE2">
        <w:rPr>
          <w:rFonts w:ascii="Calibri" w:eastAsia="Calibri" w:hAnsi="Calibri" w:cs="Calibri"/>
          <w:b/>
          <w:bCs/>
          <w:sz w:val="20"/>
          <w:szCs w:val="20"/>
        </w:rPr>
        <w:t>Figure 2.</w:t>
      </w:r>
      <w:r w:rsidRPr="006C4CE2">
        <w:rPr>
          <w:rFonts w:ascii="Calibri" w:eastAsia="Calibri" w:hAnsi="Calibri" w:cs="Calibri"/>
          <w:sz w:val="20"/>
          <w:szCs w:val="20"/>
        </w:rPr>
        <w:t xml:space="preserve"> </w:t>
      </w:r>
      <w:r w:rsidR="006D72B9" w:rsidRPr="006C4CE2">
        <w:rPr>
          <w:rFonts w:ascii="Calibri" w:eastAsia="Calibri" w:hAnsi="Calibri" w:cs="Calibri"/>
          <w:i/>
          <w:iCs/>
          <w:sz w:val="20"/>
          <w:szCs w:val="20"/>
        </w:rPr>
        <w:t xml:space="preserve">[A] The evolution of the number of </w:t>
      </w:r>
      <w:r w:rsidR="006D72B9">
        <w:rPr>
          <w:rFonts w:ascii="Calibri" w:eastAsia="Calibri" w:hAnsi="Calibri" w:cs="Calibri"/>
          <w:i/>
          <w:iCs/>
          <w:sz w:val="20"/>
          <w:szCs w:val="20"/>
        </w:rPr>
        <w:t xml:space="preserve">registered </w:t>
      </w:r>
      <w:r w:rsidR="006D72B9" w:rsidRPr="006C4CE2">
        <w:rPr>
          <w:rFonts w:ascii="Calibri" w:eastAsia="Calibri" w:hAnsi="Calibri" w:cs="Calibri"/>
          <w:i/>
          <w:iCs/>
          <w:sz w:val="20"/>
          <w:szCs w:val="20"/>
        </w:rPr>
        <w:t>institution</w:t>
      </w:r>
      <w:r w:rsidR="006D72B9">
        <w:rPr>
          <w:rFonts w:ascii="Calibri" w:eastAsia="Calibri" w:hAnsi="Calibri" w:cs="Calibri"/>
          <w:i/>
          <w:iCs/>
          <w:sz w:val="20"/>
          <w:szCs w:val="20"/>
        </w:rPr>
        <w:t>s</w:t>
      </w:r>
      <w:r w:rsidR="006D72B9" w:rsidRPr="006C4CE2">
        <w:rPr>
          <w:rFonts w:ascii="Calibri" w:eastAsia="Calibri" w:hAnsi="Calibri" w:cs="Calibri"/>
          <w:i/>
          <w:iCs/>
          <w:sz w:val="20"/>
          <w:szCs w:val="20"/>
        </w:rPr>
        <w:t xml:space="preserve"> in SisGen from Feb</w:t>
      </w:r>
      <w:r w:rsidR="006D72B9">
        <w:rPr>
          <w:rFonts w:ascii="Calibri" w:eastAsia="Calibri" w:hAnsi="Calibri" w:cs="Calibri"/>
          <w:i/>
          <w:iCs/>
          <w:sz w:val="20"/>
          <w:szCs w:val="20"/>
        </w:rPr>
        <w:t xml:space="preserve">ruary </w:t>
      </w:r>
      <w:r w:rsidR="006D72B9" w:rsidRPr="006C4CE2">
        <w:rPr>
          <w:rFonts w:ascii="Calibri" w:eastAsia="Calibri" w:hAnsi="Calibri" w:cs="Calibri"/>
          <w:i/>
          <w:iCs/>
          <w:sz w:val="20"/>
          <w:szCs w:val="20"/>
        </w:rPr>
        <w:t>2018 to Aug</w:t>
      </w:r>
      <w:r w:rsidR="006D72B9">
        <w:rPr>
          <w:rFonts w:ascii="Calibri" w:eastAsia="Calibri" w:hAnsi="Calibri" w:cs="Calibri"/>
          <w:i/>
          <w:iCs/>
          <w:sz w:val="20"/>
          <w:szCs w:val="20"/>
        </w:rPr>
        <w:t xml:space="preserve">ust </w:t>
      </w:r>
      <w:r w:rsidR="006D72B9" w:rsidRPr="006C4CE2">
        <w:rPr>
          <w:rFonts w:ascii="Calibri" w:eastAsia="Calibri" w:hAnsi="Calibri" w:cs="Calibri"/>
          <w:i/>
          <w:iCs/>
          <w:sz w:val="20"/>
          <w:szCs w:val="20"/>
        </w:rPr>
        <w:t xml:space="preserve">2022. [B] </w:t>
      </w:r>
      <w:r w:rsidR="006D72B9">
        <w:rPr>
          <w:rFonts w:ascii="Calibri" w:eastAsia="Calibri" w:hAnsi="Calibri" w:cs="Calibri"/>
          <w:i/>
          <w:iCs/>
          <w:sz w:val="20"/>
          <w:szCs w:val="20"/>
        </w:rPr>
        <w:t>N</w:t>
      </w:r>
      <w:r w:rsidR="006D72B9" w:rsidRPr="006C4CE2">
        <w:rPr>
          <w:rFonts w:ascii="Calibri" w:eastAsia="Calibri" w:hAnsi="Calibri" w:cs="Calibri"/>
          <w:i/>
          <w:iCs/>
          <w:sz w:val="20"/>
          <w:szCs w:val="20"/>
        </w:rPr>
        <w:t>umber of SisGen registration</w:t>
      </w:r>
      <w:r w:rsidR="006D72B9">
        <w:rPr>
          <w:rFonts w:ascii="Calibri" w:eastAsia="Calibri" w:hAnsi="Calibri" w:cs="Calibri"/>
          <w:i/>
          <w:iCs/>
          <w:sz w:val="20"/>
          <w:szCs w:val="20"/>
        </w:rPr>
        <w:t>s</w:t>
      </w:r>
      <w:r w:rsidR="006D72B9" w:rsidRPr="006C4CE2">
        <w:rPr>
          <w:rFonts w:ascii="Calibri" w:eastAsia="Calibri" w:hAnsi="Calibri" w:cs="Calibri"/>
          <w:i/>
          <w:iCs/>
          <w:sz w:val="20"/>
          <w:szCs w:val="20"/>
        </w:rPr>
        <w:t xml:space="preserve"> by academic and business </w:t>
      </w:r>
      <w:r w:rsidR="006D72B9">
        <w:rPr>
          <w:rFonts w:ascii="Calibri" w:eastAsia="Calibri" w:hAnsi="Calibri" w:cs="Calibri"/>
          <w:i/>
          <w:iCs/>
          <w:sz w:val="20"/>
          <w:szCs w:val="20"/>
        </w:rPr>
        <w:t>i</w:t>
      </w:r>
      <w:r w:rsidR="006D72B9" w:rsidRPr="006C4CE2">
        <w:rPr>
          <w:rFonts w:ascii="Calibri" w:eastAsia="Calibri" w:hAnsi="Calibri" w:cs="Calibri"/>
          <w:i/>
          <w:iCs/>
          <w:sz w:val="20"/>
          <w:szCs w:val="20"/>
        </w:rPr>
        <w:t>nstitutions in Dec</w:t>
      </w:r>
      <w:r w:rsidR="006D72B9">
        <w:rPr>
          <w:rFonts w:ascii="Calibri" w:eastAsia="Calibri" w:hAnsi="Calibri" w:cs="Calibri"/>
          <w:i/>
          <w:iCs/>
          <w:sz w:val="20"/>
          <w:szCs w:val="20"/>
        </w:rPr>
        <w:t xml:space="preserve">ember </w:t>
      </w:r>
      <w:r w:rsidR="006D72B9" w:rsidRPr="006C4CE2">
        <w:rPr>
          <w:rFonts w:ascii="Calibri" w:eastAsia="Calibri" w:hAnsi="Calibri" w:cs="Calibri"/>
          <w:i/>
          <w:iCs/>
          <w:sz w:val="20"/>
          <w:szCs w:val="20"/>
        </w:rPr>
        <w:t>2019. Source: SisGen (LAI)</w:t>
      </w:r>
      <w:r w:rsidR="006D72B9">
        <w:rPr>
          <w:rFonts w:ascii="Calibri" w:eastAsia="Calibri" w:hAnsi="Calibri" w:cs="Calibri"/>
          <w:i/>
          <w:iCs/>
          <w:sz w:val="20"/>
          <w:szCs w:val="20"/>
        </w:rPr>
        <w:t>.</w:t>
      </w:r>
    </w:p>
    <w:p w14:paraId="5F9CC319" w14:textId="7496A572" w:rsidR="00271D67" w:rsidRPr="006C4CE2" w:rsidRDefault="00271D67" w:rsidP="5590ED66">
      <w:pPr>
        <w:spacing w:line="257" w:lineRule="auto"/>
      </w:pPr>
      <w:r w:rsidRPr="006C4CE2">
        <w:rPr>
          <w:rFonts w:ascii="Calibri" w:eastAsia="Calibri" w:hAnsi="Calibri" w:cs="Calibri"/>
        </w:rPr>
        <w:t xml:space="preserve"> </w:t>
      </w:r>
    </w:p>
    <w:p w14:paraId="23E8150D" w14:textId="2C768CC6" w:rsidR="00271D67" w:rsidRPr="00CC26C1" w:rsidRDefault="00271D67" w:rsidP="00C016D0">
      <w:pPr>
        <w:pStyle w:val="Heading3"/>
        <w:numPr>
          <w:ilvl w:val="2"/>
          <w:numId w:val="3"/>
        </w:numPr>
        <w:rPr>
          <w:color w:val="0070C0"/>
        </w:rPr>
      </w:pPr>
      <w:r w:rsidRPr="00CC26C1">
        <w:rPr>
          <w:color w:val="0070C0"/>
        </w:rPr>
        <w:t xml:space="preserve">GH/ATK </w:t>
      </w:r>
      <w:r w:rsidR="006D72B9">
        <w:rPr>
          <w:color w:val="0070C0"/>
        </w:rPr>
        <w:t>a</w:t>
      </w:r>
      <w:r w:rsidRPr="00CC26C1">
        <w:rPr>
          <w:color w:val="0070C0"/>
        </w:rPr>
        <w:t xml:space="preserve">ccess </w:t>
      </w:r>
      <w:r w:rsidR="006D72B9">
        <w:rPr>
          <w:color w:val="0070C0"/>
        </w:rPr>
        <w:t>r</w:t>
      </w:r>
      <w:r w:rsidRPr="00CC26C1">
        <w:rPr>
          <w:color w:val="0070C0"/>
        </w:rPr>
        <w:t>egistration</w:t>
      </w:r>
      <w:r w:rsidR="006D72B9">
        <w:rPr>
          <w:color w:val="0070C0"/>
        </w:rPr>
        <w:t>s</w:t>
      </w:r>
    </w:p>
    <w:p w14:paraId="3FC99FED" w14:textId="30A69212" w:rsidR="00271D67" w:rsidRPr="0092337F" w:rsidRDefault="006D72B9" w:rsidP="54D28F68">
      <w:pPr>
        <w:spacing w:line="257" w:lineRule="auto"/>
        <w:rPr>
          <w:rFonts w:eastAsia="Calibri" w:cstheme="minorHAnsi"/>
        </w:rPr>
      </w:pPr>
      <w:r w:rsidRPr="0092337F">
        <w:rPr>
          <w:rFonts w:eastAsia="Calibri" w:cstheme="minorHAnsi"/>
        </w:rPr>
        <w:t xml:space="preserve">Figure 3 illustrates the considerable increase in the number of registrations close to the end of the one-year adjustment and regularization period stipulated as a transitory provision for users that did not comply with the PM 2,186/2001, and a very slow-paced evolution since then. The Figure also shows both cumulative and non-cumulative registrations for more precise progress evaluation on the period covered. </w:t>
      </w:r>
    </w:p>
    <w:p w14:paraId="5FB4068F" w14:textId="77777777" w:rsidR="004D1A1E" w:rsidRPr="0092337F" w:rsidRDefault="004D1A1E" w:rsidP="004D1A1E">
      <w:pPr>
        <w:rPr>
          <w:rFonts w:cstheme="minorHAnsi"/>
        </w:rPr>
      </w:pPr>
      <w:r w:rsidRPr="0092337F">
        <w:rPr>
          <w:rFonts w:eastAsia="Calibri" w:cstheme="minorHAnsi"/>
        </w:rPr>
        <w:t>While the PM was in force, i.e., from June 2000 to November 2015, there were 2,136 GH and ATK access authorizations; 2,019 (95%) were related to access to the GH only and the remaining 117 (5%) were related to access to the TK associated with the Brazilian GH. This reality of the predominance of access to the GH is repeated in compliance with Law 13.123/2015, as illustrated before.</w:t>
      </w:r>
    </w:p>
    <w:p w14:paraId="0BAB1ACC" w14:textId="42DD395C" w:rsidR="004D1A1E" w:rsidRPr="0092337F" w:rsidRDefault="004D1A1E" w:rsidP="004D1A1E">
      <w:pPr>
        <w:rPr>
          <w:rFonts w:eastAsia="Calibri" w:cstheme="minorHAnsi"/>
        </w:rPr>
      </w:pPr>
      <w:r w:rsidRPr="0092337F">
        <w:rPr>
          <w:rFonts w:eastAsia="Calibri" w:cstheme="minorHAnsi"/>
        </w:rPr>
        <w:t xml:space="preserve">The difference in the number of pre-authorizations or access registrations between the old and the new Brazilian ABS legislation is significant: 2,136 pre-authorizations in 15 years </w:t>
      </w:r>
      <w:r w:rsidRPr="0092337F">
        <w:rPr>
          <w:rFonts w:eastAsia="Calibri" w:cstheme="minorHAnsi"/>
          <w:i/>
          <w:iCs/>
        </w:rPr>
        <w:t>versus</w:t>
      </w:r>
      <w:r w:rsidRPr="0092337F">
        <w:rPr>
          <w:rFonts w:eastAsia="Calibri" w:cstheme="minorHAnsi"/>
        </w:rPr>
        <w:t xml:space="preserve"> 67,</w:t>
      </w:r>
      <w:r w:rsidR="0058393A" w:rsidRPr="0092337F">
        <w:rPr>
          <w:rFonts w:eastAsia="Calibri" w:cstheme="minorHAnsi"/>
        </w:rPr>
        <w:t xml:space="preserve">056 </w:t>
      </w:r>
      <w:r w:rsidRPr="0092337F">
        <w:rPr>
          <w:rFonts w:eastAsia="Calibri" w:cstheme="minorHAnsi"/>
        </w:rPr>
        <w:t>access registrations in 6 years and 9 months.</w:t>
      </w:r>
    </w:p>
    <w:p w14:paraId="53B4B217" w14:textId="5CF605F7" w:rsidR="004F3B6C" w:rsidRDefault="004F3B6C" w:rsidP="004D1A1E">
      <w:pPr>
        <w:rPr>
          <w:rFonts w:ascii="Calibri" w:eastAsia="Calibri" w:hAnsi="Calibri" w:cs="Calibri"/>
        </w:rPr>
      </w:pPr>
      <w:r>
        <w:rPr>
          <w:rFonts w:ascii="Calibri" w:eastAsia="Calibri" w:hAnsi="Calibri" w:cs="Calibri"/>
          <w:noProof/>
        </w:rPr>
        <w:lastRenderedPageBreak/>
        <w:drawing>
          <wp:inline distT="0" distB="0" distL="0" distR="0" wp14:anchorId="10A796A4" wp14:editId="59E5B8F9">
            <wp:extent cx="5596255" cy="2385060"/>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96255" cy="2385060"/>
                    </a:xfrm>
                    <a:prstGeom prst="rect">
                      <a:avLst/>
                    </a:prstGeom>
                    <a:noFill/>
                    <a:ln>
                      <a:noFill/>
                    </a:ln>
                  </pic:spPr>
                </pic:pic>
              </a:graphicData>
            </a:graphic>
          </wp:inline>
        </w:drawing>
      </w:r>
    </w:p>
    <w:p w14:paraId="22D171FE" w14:textId="618ABB4F" w:rsidR="00271D67" w:rsidRDefault="00271D67" w:rsidP="5590ED66">
      <w:pPr>
        <w:spacing w:line="257" w:lineRule="auto"/>
        <w:rPr>
          <w:rFonts w:ascii="Calibri" w:eastAsia="Calibri" w:hAnsi="Calibri" w:cs="Calibri"/>
          <w:i/>
          <w:iCs/>
          <w:sz w:val="20"/>
          <w:szCs w:val="20"/>
        </w:rPr>
      </w:pPr>
      <w:r w:rsidRPr="54D28F68">
        <w:rPr>
          <w:rFonts w:ascii="Calibri" w:eastAsia="Calibri" w:hAnsi="Calibri" w:cs="Calibri"/>
          <w:b/>
          <w:bCs/>
          <w:sz w:val="20"/>
          <w:szCs w:val="20"/>
        </w:rPr>
        <w:t>Figure 3.</w:t>
      </w:r>
      <w:r w:rsidRPr="54D28F68">
        <w:rPr>
          <w:rFonts w:ascii="Calibri" w:eastAsia="Calibri" w:hAnsi="Calibri" w:cs="Calibri"/>
          <w:sz w:val="20"/>
          <w:szCs w:val="20"/>
        </w:rPr>
        <w:t xml:space="preserve"> </w:t>
      </w:r>
      <w:r w:rsidR="006D72B9" w:rsidRPr="00B71F1C">
        <w:rPr>
          <w:rFonts w:ascii="Calibri" w:eastAsia="Calibri" w:hAnsi="Calibri" w:cs="Calibri"/>
          <w:i/>
          <w:iCs/>
          <w:sz w:val="20"/>
          <w:szCs w:val="20"/>
        </w:rPr>
        <w:t>Evolution o</w:t>
      </w:r>
      <w:r w:rsidR="006D72B9">
        <w:rPr>
          <w:rFonts w:ascii="Calibri" w:eastAsia="Calibri" w:hAnsi="Calibri" w:cs="Calibri"/>
          <w:i/>
          <w:iCs/>
          <w:sz w:val="20"/>
          <w:szCs w:val="20"/>
        </w:rPr>
        <w:t>f</w:t>
      </w:r>
      <w:r w:rsidR="006D72B9" w:rsidRPr="00B71F1C">
        <w:rPr>
          <w:rFonts w:ascii="Calibri" w:eastAsia="Calibri" w:hAnsi="Calibri" w:cs="Calibri"/>
          <w:i/>
          <w:iCs/>
          <w:sz w:val="20"/>
          <w:szCs w:val="20"/>
        </w:rPr>
        <w:t xml:space="preserve"> the number of GH and ATK access records in SisGen for the period from Feb</w:t>
      </w:r>
      <w:r w:rsidR="006D72B9">
        <w:rPr>
          <w:rFonts w:ascii="Calibri" w:eastAsia="Calibri" w:hAnsi="Calibri" w:cs="Calibri"/>
          <w:i/>
          <w:iCs/>
          <w:sz w:val="20"/>
          <w:szCs w:val="20"/>
        </w:rPr>
        <w:t xml:space="preserve">ruary </w:t>
      </w:r>
      <w:r w:rsidR="006D72B9" w:rsidRPr="00B71F1C">
        <w:rPr>
          <w:rFonts w:ascii="Calibri" w:eastAsia="Calibri" w:hAnsi="Calibri" w:cs="Calibri"/>
          <w:i/>
          <w:iCs/>
          <w:sz w:val="20"/>
          <w:szCs w:val="20"/>
        </w:rPr>
        <w:t>2018 to Aug</w:t>
      </w:r>
      <w:r w:rsidR="006D72B9">
        <w:rPr>
          <w:rFonts w:ascii="Calibri" w:eastAsia="Calibri" w:hAnsi="Calibri" w:cs="Calibri"/>
          <w:i/>
          <w:iCs/>
          <w:sz w:val="20"/>
          <w:szCs w:val="20"/>
        </w:rPr>
        <w:t xml:space="preserve">ust </w:t>
      </w:r>
      <w:r w:rsidR="006D72B9" w:rsidRPr="00B71F1C">
        <w:rPr>
          <w:rFonts w:ascii="Calibri" w:eastAsia="Calibri" w:hAnsi="Calibri" w:cs="Calibri"/>
          <w:i/>
          <w:iCs/>
          <w:sz w:val="20"/>
          <w:szCs w:val="20"/>
        </w:rPr>
        <w:t xml:space="preserve">2022 </w:t>
      </w:r>
      <w:r w:rsidR="006D72B9">
        <w:rPr>
          <w:rFonts w:ascii="Calibri" w:eastAsia="Calibri" w:hAnsi="Calibri" w:cs="Calibri"/>
          <w:i/>
          <w:iCs/>
          <w:sz w:val="20"/>
          <w:szCs w:val="20"/>
        </w:rPr>
        <w:t>showing</w:t>
      </w:r>
      <w:r w:rsidR="006D72B9" w:rsidRPr="00B71F1C">
        <w:rPr>
          <w:rFonts w:ascii="Calibri" w:eastAsia="Calibri" w:hAnsi="Calibri" w:cs="Calibri"/>
          <w:i/>
          <w:iCs/>
          <w:sz w:val="20"/>
          <w:szCs w:val="20"/>
        </w:rPr>
        <w:t xml:space="preserve"> cumulative and non-cumulative data. Source: SisGen (LAI).</w:t>
      </w:r>
    </w:p>
    <w:p w14:paraId="6930920A" w14:textId="77777777" w:rsidR="00A377A9" w:rsidRPr="006D72B9" w:rsidRDefault="00A377A9" w:rsidP="54D28F68">
      <w:pPr>
        <w:rPr>
          <w:rFonts w:ascii="Calibri" w:eastAsia="Calibri" w:hAnsi="Calibri" w:cs="Calibri"/>
        </w:rPr>
      </w:pPr>
    </w:p>
    <w:p w14:paraId="654A2890" w14:textId="6D92ED7E" w:rsidR="00496FEB" w:rsidRPr="00AE3BB4" w:rsidRDefault="00496FEB" w:rsidP="00C016D0">
      <w:pPr>
        <w:pStyle w:val="Heading3"/>
        <w:numPr>
          <w:ilvl w:val="2"/>
          <w:numId w:val="3"/>
        </w:numPr>
        <w:rPr>
          <w:rFonts w:cstheme="majorHAnsi"/>
          <w:color w:val="0070C0"/>
          <w:sz w:val="22"/>
          <w:szCs w:val="22"/>
        </w:rPr>
      </w:pPr>
      <w:r w:rsidRPr="00AE3BB4">
        <w:rPr>
          <w:rFonts w:cstheme="majorHAnsi"/>
          <w:color w:val="0070C0"/>
          <w:sz w:val="22"/>
          <w:szCs w:val="22"/>
        </w:rPr>
        <w:t>Registration by legal purpose</w:t>
      </w:r>
    </w:p>
    <w:p w14:paraId="63B61225" w14:textId="183F4D67" w:rsidR="00496FEB" w:rsidRPr="0092337F" w:rsidRDefault="00496FEB" w:rsidP="00496FEB">
      <w:pPr>
        <w:spacing w:line="257" w:lineRule="auto"/>
        <w:rPr>
          <w:rFonts w:cstheme="minorHAnsi"/>
        </w:rPr>
      </w:pPr>
      <w:r w:rsidRPr="0092337F">
        <w:rPr>
          <w:rFonts w:eastAsia="Calibri" w:cstheme="minorHAnsi"/>
        </w:rPr>
        <w:t xml:space="preserve">Law 13,123/2015 </w:t>
      </w:r>
      <w:r w:rsidR="006D72B9" w:rsidRPr="0092337F">
        <w:rPr>
          <w:rFonts w:eastAsia="Calibri" w:cstheme="minorHAnsi"/>
        </w:rPr>
        <w:t>provide</w:t>
      </w:r>
      <w:r w:rsidR="001B49FD" w:rsidRPr="0092337F">
        <w:rPr>
          <w:rFonts w:eastAsia="Calibri" w:cstheme="minorHAnsi"/>
        </w:rPr>
        <w:t>d for</w:t>
      </w:r>
      <w:r w:rsidRPr="0092337F">
        <w:rPr>
          <w:rFonts w:eastAsia="Calibri" w:cstheme="minorHAnsi"/>
        </w:rPr>
        <w:t xml:space="preserve"> a transitory provision of one year for adjustment and regularization procedures counting from the date SisGen was made available. The deadline ended in November 2018 (except for compliance features that were not yet made available by the system).</w:t>
      </w:r>
      <w:r w:rsidR="005E3337" w:rsidRPr="0092337F">
        <w:rPr>
          <w:rFonts w:eastAsia="Calibri" w:cstheme="minorHAnsi"/>
        </w:rPr>
        <w:t xml:space="preserve"> As mentioned </w:t>
      </w:r>
      <w:r w:rsidR="00735619" w:rsidRPr="0092337F">
        <w:rPr>
          <w:rFonts w:eastAsia="Calibri" w:cstheme="minorHAnsi"/>
        </w:rPr>
        <w:t>previously</w:t>
      </w:r>
      <w:r w:rsidR="00CC6EE5" w:rsidRPr="0092337F">
        <w:rPr>
          <w:rFonts w:eastAsia="Calibri" w:cstheme="minorHAnsi"/>
        </w:rPr>
        <w:t>,</w:t>
      </w:r>
      <w:r w:rsidR="005E3337" w:rsidRPr="0092337F">
        <w:rPr>
          <w:rFonts w:eastAsia="Calibri" w:cstheme="minorHAnsi"/>
        </w:rPr>
        <w:t xml:space="preserve"> up to </w:t>
      </w:r>
      <w:r w:rsidR="004D1A1E" w:rsidRPr="0092337F">
        <w:rPr>
          <w:rFonts w:eastAsia="Calibri" w:cstheme="minorHAnsi"/>
        </w:rPr>
        <w:t>August</w:t>
      </w:r>
      <w:r w:rsidR="005E3337" w:rsidRPr="0092337F">
        <w:rPr>
          <w:rFonts w:eastAsia="Calibri" w:cstheme="minorHAnsi"/>
        </w:rPr>
        <w:t xml:space="preserve"> 2022, SisGen was not yet available </w:t>
      </w:r>
      <w:r w:rsidR="00694607" w:rsidRPr="0092337F">
        <w:rPr>
          <w:rFonts w:eastAsia="Calibri" w:cstheme="minorHAnsi"/>
        </w:rPr>
        <w:t>to be accessed by</w:t>
      </w:r>
      <w:r w:rsidR="005E3337" w:rsidRPr="0092337F">
        <w:rPr>
          <w:rFonts w:eastAsia="Calibri" w:cstheme="minorHAnsi"/>
        </w:rPr>
        <w:t xml:space="preserve"> </w:t>
      </w:r>
      <w:r w:rsidR="00694607" w:rsidRPr="0092337F">
        <w:rPr>
          <w:rFonts w:eastAsia="Calibri" w:cstheme="minorHAnsi"/>
        </w:rPr>
        <w:t xml:space="preserve">foreigner </w:t>
      </w:r>
      <w:r w:rsidR="005E3337" w:rsidRPr="0092337F">
        <w:rPr>
          <w:rFonts w:eastAsia="Calibri" w:cstheme="minorHAnsi"/>
        </w:rPr>
        <w:t>users.</w:t>
      </w:r>
    </w:p>
    <w:p w14:paraId="6F743257" w14:textId="77777777" w:rsidR="00662804" w:rsidRPr="0092337F" w:rsidRDefault="00496FEB" w:rsidP="00496FEB">
      <w:pPr>
        <w:spacing w:line="257" w:lineRule="auto"/>
        <w:rPr>
          <w:rFonts w:eastAsia="Calibri" w:cstheme="minorHAnsi"/>
        </w:rPr>
      </w:pPr>
      <w:r w:rsidRPr="0092337F">
        <w:rPr>
          <w:rFonts w:eastAsia="Calibri" w:cstheme="minorHAnsi"/>
        </w:rPr>
        <w:t xml:space="preserve">The “adjustment” procedure needed to be followed by users who accessed GH/ATK and/or </w:t>
      </w:r>
      <w:r w:rsidR="00694607" w:rsidRPr="0092337F">
        <w:rPr>
          <w:rFonts w:eastAsia="Calibri" w:cstheme="minorHAnsi"/>
        </w:rPr>
        <w:t>undertook economic exploitation of finished products or reproductive material resulting from access to GH/</w:t>
      </w:r>
      <w:r w:rsidR="000945E9" w:rsidRPr="0092337F">
        <w:rPr>
          <w:rFonts w:eastAsia="Calibri" w:cstheme="minorHAnsi"/>
        </w:rPr>
        <w:t>A</w:t>
      </w:r>
      <w:r w:rsidR="00694607" w:rsidRPr="0092337F">
        <w:rPr>
          <w:rFonts w:eastAsia="Calibri" w:cstheme="minorHAnsi"/>
        </w:rPr>
        <w:t>TK in compliance with PM 2,186/2001 since June 2000</w:t>
      </w:r>
      <w:r w:rsidR="00CB7F8D" w:rsidRPr="0092337F">
        <w:rPr>
          <w:rFonts w:eastAsia="Calibri" w:cstheme="minorHAnsi"/>
        </w:rPr>
        <w:t xml:space="preserve">. </w:t>
      </w:r>
    </w:p>
    <w:p w14:paraId="5AE30B01" w14:textId="2BF44003" w:rsidR="00496FEB" w:rsidRPr="0092337F" w:rsidRDefault="00662804" w:rsidP="00496FEB">
      <w:pPr>
        <w:spacing w:line="257" w:lineRule="auto"/>
        <w:rPr>
          <w:rFonts w:cstheme="minorHAnsi"/>
        </w:rPr>
      </w:pPr>
      <w:r w:rsidRPr="0092337F">
        <w:rPr>
          <w:rFonts w:eastAsia="Calibri" w:cstheme="minorHAnsi"/>
        </w:rPr>
        <w:t>T</w:t>
      </w:r>
      <w:r w:rsidR="00694607" w:rsidRPr="0092337F">
        <w:rPr>
          <w:rFonts w:eastAsia="Calibri" w:cstheme="minorHAnsi"/>
        </w:rPr>
        <w:t>he “regularization” procedure was established for users who had used GH/ATK in disagreement with the Provisional Measure</w:t>
      </w:r>
      <w:r w:rsidR="00F7798C" w:rsidRPr="0092337F">
        <w:rPr>
          <w:rFonts w:eastAsia="Calibri" w:cstheme="minorHAnsi"/>
        </w:rPr>
        <w:t xml:space="preserve">. </w:t>
      </w:r>
      <w:r w:rsidR="00496FEB" w:rsidRPr="0092337F">
        <w:rPr>
          <w:rFonts w:eastAsia="Calibri" w:cstheme="minorHAnsi"/>
        </w:rPr>
        <w:t xml:space="preserve">The latter required the signing of a Term of Commitment (TC) between the user and the Union (Ministry of the Environment), if the user had performed </w:t>
      </w:r>
      <w:r w:rsidR="00904028" w:rsidRPr="0092337F">
        <w:rPr>
          <w:rFonts w:eastAsia="Calibri" w:cstheme="minorHAnsi"/>
        </w:rPr>
        <w:t xml:space="preserve">any </w:t>
      </w:r>
      <w:r w:rsidR="00496FEB" w:rsidRPr="0092337F">
        <w:rPr>
          <w:rFonts w:eastAsia="Calibri" w:cstheme="minorHAnsi"/>
        </w:rPr>
        <w:t>of the following activities:</w:t>
      </w:r>
    </w:p>
    <w:p w14:paraId="5329FEFA" w14:textId="3470701B" w:rsidR="00496FEB" w:rsidRPr="0092337F" w:rsidRDefault="00496FEB">
      <w:pPr>
        <w:pStyle w:val="ListParagraph"/>
        <w:numPr>
          <w:ilvl w:val="0"/>
          <w:numId w:val="11"/>
        </w:numPr>
        <w:spacing w:line="257" w:lineRule="auto"/>
        <w:rPr>
          <w:rFonts w:eastAsiaTheme="minorEastAsia" w:cstheme="minorHAnsi"/>
        </w:rPr>
      </w:pPr>
      <w:r w:rsidRPr="0092337F">
        <w:rPr>
          <w:rFonts w:eastAsia="Calibri" w:cstheme="minorHAnsi"/>
        </w:rPr>
        <w:t xml:space="preserve">Access to GH and/or </w:t>
      </w:r>
      <w:proofErr w:type="gramStart"/>
      <w:r w:rsidRPr="0092337F">
        <w:rPr>
          <w:rFonts w:eastAsia="Calibri" w:cstheme="minorHAnsi"/>
        </w:rPr>
        <w:t>ATK</w:t>
      </w:r>
      <w:r w:rsidR="00694607" w:rsidRPr="0092337F">
        <w:rPr>
          <w:rFonts w:eastAsia="Calibri" w:cstheme="minorHAnsi"/>
        </w:rPr>
        <w:t>;</w:t>
      </w:r>
      <w:proofErr w:type="gramEnd"/>
      <w:r w:rsidRPr="0092337F">
        <w:rPr>
          <w:rFonts w:eastAsia="Calibri" w:cstheme="minorHAnsi"/>
        </w:rPr>
        <w:t xml:space="preserve"> </w:t>
      </w:r>
    </w:p>
    <w:p w14:paraId="0D279FF4" w14:textId="58897CC5" w:rsidR="00496FEB" w:rsidRPr="0092337F" w:rsidRDefault="00496FEB">
      <w:pPr>
        <w:pStyle w:val="ListParagraph"/>
        <w:numPr>
          <w:ilvl w:val="0"/>
          <w:numId w:val="11"/>
        </w:numPr>
        <w:spacing w:line="257" w:lineRule="auto"/>
        <w:rPr>
          <w:rFonts w:eastAsiaTheme="minorEastAsia" w:cstheme="minorHAnsi"/>
        </w:rPr>
      </w:pPr>
      <w:r w:rsidRPr="0092337F">
        <w:rPr>
          <w:rFonts w:eastAsia="Calibri" w:cstheme="minorHAnsi"/>
        </w:rPr>
        <w:t xml:space="preserve">Economic exploitation of a product or process resulting from access to the GH and/or ATK referred to in the PM </w:t>
      </w:r>
      <w:proofErr w:type="gramStart"/>
      <w:r w:rsidRPr="0092337F">
        <w:rPr>
          <w:rFonts w:eastAsia="Calibri" w:cstheme="minorHAnsi"/>
        </w:rPr>
        <w:t>2,186/2001</w:t>
      </w:r>
      <w:r w:rsidR="00694607" w:rsidRPr="0092337F">
        <w:rPr>
          <w:rFonts w:eastAsia="Calibri" w:cstheme="minorHAnsi"/>
        </w:rPr>
        <w:t>;</w:t>
      </w:r>
      <w:proofErr w:type="gramEnd"/>
    </w:p>
    <w:p w14:paraId="44301308" w14:textId="0EBAD0FC" w:rsidR="00496FEB" w:rsidRPr="0092337F" w:rsidRDefault="00496FEB">
      <w:pPr>
        <w:pStyle w:val="ListParagraph"/>
        <w:numPr>
          <w:ilvl w:val="0"/>
          <w:numId w:val="11"/>
        </w:numPr>
        <w:spacing w:line="257" w:lineRule="auto"/>
        <w:rPr>
          <w:rFonts w:eastAsiaTheme="minorEastAsia" w:cstheme="minorHAnsi"/>
        </w:rPr>
      </w:pPr>
      <w:r w:rsidRPr="0092337F">
        <w:rPr>
          <w:rFonts w:eastAsia="Calibri" w:cstheme="minorHAnsi"/>
        </w:rPr>
        <w:t>Sending a GH sample abroad</w:t>
      </w:r>
      <w:r w:rsidR="00694607" w:rsidRPr="0092337F">
        <w:rPr>
          <w:rFonts w:eastAsia="Calibri" w:cstheme="minorHAnsi"/>
        </w:rPr>
        <w:t>;</w:t>
      </w:r>
      <w:r w:rsidRPr="0092337F">
        <w:rPr>
          <w:rFonts w:eastAsia="Calibri" w:cstheme="minorHAnsi"/>
        </w:rPr>
        <w:t xml:space="preserve"> or</w:t>
      </w:r>
    </w:p>
    <w:p w14:paraId="0356E703" w14:textId="77777777" w:rsidR="00496FEB" w:rsidRPr="0092337F" w:rsidRDefault="00496FEB">
      <w:pPr>
        <w:pStyle w:val="ListParagraph"/>
        <w:numPr>
          <w:ilvl w:val="0"/>
          <w:numId w:val="11"/>
        </w:numPr>
        <w:spacing w:line="257" w:lineRule="auto"/>
        <w:rPr>
          <w:rFonts w:eastAsiaTheme="minorEastAsia" w:cstheme="minorHAnsi"/>
        </w:rPr>
      </w:pPr>
      <w:r w:rsidRPr="0092337F">
        <w:rPr>
          <w:rFonts w:eastAsia="Calibri" w:cstheme="minorHAnsi"/>
        </w:rPr>
        <w:t>Disclosure, transmission or retransmission of data or information that were part of or constituted traditional knowledge associated with the Brazilian GH.</w:t>
      </w:r>
    </w:p>
    <w:p w14:paraId="3C3C8A6C" w14:textId="6FB0170A" w:rsidR="00CF3976" w:rsidRPr="0092337F" w:rsidRDefault="00496FEB" w:rsidP="00CF3976">
      <w:pPr>
        <w:spacing w:line="257" w:lineRule="auto"/>
        <w:rPr>
          <w:rFonts w:eastAsia="Calibri" w:cstheme="minorHAnsi"/>
        </w:rPr>
      </w:pPr>
      <w:r w:rsidRPr="0092337F">
        <w:rPr>
          <w:rFonts w:eastAsia="Calibri" w:cstheme="minorHAnsi"/>
        </w:rPr>
        <w:t>According to SisGen data received via LAI, in August 2022</w:t>
      </w:r>
      <w:r w:rsidR="00A377A9" w:rsidRPr="0092337F">
        <w:rPr>
          <w:rFonts w:eastAsia="Calibri" w:cstheme="minorHAnsi"/>
        </w:rPr>
        <w:t xml:space="preserve">, the total number of registered adjustment procedures was </w:t>
      </w:r>
      <w:r w:rsidRPr="0092337F">
        <w:rPr>
          <w:rFonts w:eastAsia="Calibri" w:cstheme="minorHAnsi"/>
        </w:rPr>
        <w:t xml:space="preserve">33,631 or 50.1% of all registrations, while </w:t>
      </w:r>
      <w:r w:rsidR="009149CF" w:rsidRPr="0092337F">
        <w:rPr>
          <w:rFonts w:eastAsia="Calibri" w:cstheme="minorHAnsi"/>
        </w:rPr>
        <w:t>n</w:t>
      </w:r>
      <w:r w:rsidR="00CF3976" w:rsidRPr="0092337F">
        <w:rPr>
          <w:rFonts w:eastAsia="Calibri" w:cstheme="minorHAnsi"/>
        </w:rPr>
        <w:t xml:space="preserve">ew GH/ATK access activities reached 33.319 or 49.7% of all registrations. </w:t>
      </w:r>
    </w:p>
    <w:p w14:paraId="37E90E0B" w14:textId="6669D10A" w:rsidR="00496FEB" w:rsidRPr="0092337F" w:rsidRDefault="009149CF" w:rsidP="00496FEB">
      <w:pPr>
        <w:spacing w:line="257" w:lineRule="auto"/>
        <w:rPr>
          <w:rFonts w:eastAsia="Calibri" w:cstheme="minorHAnsi"/>
        </w:rPr>
      </w:pPr>
      <w:r w:rsidRPr="0092337F">
        <w:rPr>
          <w:rFonts w:eastAsia="Calibri" w:cstheme="minorHAnsi"/>
        </w:rPr>
        <w:t>R</w:t>
      </w:r>
      <w:r w:rsidR="00496FEB" w:rsidRPr="0092337F">
        <w:rPr>
          <w:rFonts w:eastAsia="Calibri" w:cstheme="minorHAnsi"/>
        </w:rPr>
        <w:t xml:space="preserve">egularization accounted for 106 or 0.2% of the registrations in SisGen. The total number of TCs received by the Ministry of the Environment was 1,621. Up to the end of August 2022, the number </w:t>
      </w:r>
      <w:r w:rsidR="00496FEB" w:rsidRPr="0092337F">
        <w:rPr>
          <w:rFonts w:eastAsia="Calibri" w:cstheme="minorHAnsi"/>
        </w:rPr>
        <w:lastRenderedPageBreak/>
        <w:t>of TC</w:t>
      </w:r>
      <w:r w:rsidR="00A377A9" w:rsidRPr="0092337F">
        <w:rPr>
          <w:rFonts w:eastAsia="Calibri" w:cstheme="minorHAnsi"/>
        </w:rPr>
        <w:t>s</w:t>
      </w:r>
      <w:r w:rsidR="00496FEB" w:rsidRPr="0092337F">
        <w:rPr>
          <w:rFonts w:eastAsia="Calibri" w:cstheme="minorHAnsi"/>
        </w:rPr>
        <w:t xml:space="preserve"> signed by both parties was 900, while 233 TCs were </w:t>
      </w:r>
      <w:r w:rsidR="0092337F" w:rsidRPr="0092337F">
        <w:rPr>
          <w:rFonts w:eastAsia="Calibri" w:cstheme="minorHAnsi"/>
        </w:rPr>
        <w:t>canceled,</w:t>
      </w:r>
      <w:r w:rsidR="00C82AC3" w:rsidRPr="0092337F">
        <w:rPr>
          <w:rFonts w:eastAsia="Calibri" w:cstheme="minorHAnsi"/>
        </w:rPr>
        <w:t xml:space="preserve"> and the rest are </w:t>
      </w:r>
      <w:r w:rsidR="00C82AC3" w:rsidRPr="0092337F">
        <w:rPr>
          <w:rStyle w:val="cf01"/>
          <w:rFonts w:asciiTheme="minorHAnsi" w:hAnsiTheme="minorHAnsi" w:cstheme="minorHAnsi"/>
          <w:sz w:val="22"/>
          <w:szCs w:val="22"/>
        </w:rPr>
        <w:t>still being processed.</w:t>
      </w:r>
      <w:r w:rsidR="00496FEB" w:rsidRPr="0092337F">
        <w:rPr>
          <w:rFonts w:eastAsia="Calibri" w:cstheme="minorHAnsi"/>
        </w:rPr>
        <w:t xml:space="preserve"> </w:t>
      </w:r>
    </w:p>
    <w:p w14:paraId="18B1A453" w14:textId="6D91DBBD" w:rsidR="009C64F0" w:rsidRPr="0092337F" w:rsidRDefault="002C4A93" w:rsidP="009C64F0">
      <w:pPr>
        <w:spacing w:line="257" w:lineRule="auto"/>
        <w:rPr>
          <w:rFonts w:eastAsia="Calibri" w:cstheme="minorHAnsi"/>
        </w:rPr>
      </w:pPr>
      <w:r w:rsidRPr="0092337F">
        <w:rPr>
          <w:rFonts w:eastAsia="Calibri" w:cstheme="minorHAnsi"/>
        </w:rPr>
        <w:t>It i</w:t>
      </w:r>
      <w:r w:rsidR="00A3647D" w:rsidRPr="0092337F">
        <w:rPr>
          <w:rFonts w:eastAsia="Calibri" w:cstheme="minorHAnsi"/>
        </w:rPr>
        <w:t xml:space="preserve">s not immediate to make sense of those figures, which </w:t>
      </w:r>
      <w:r w:rsidR="0015487B" w:rsidRPr="0092337F">
        <w:rPr>
          <w:rFonts w:eastAsia="Calibri" w:cstheme="minorHAnsi"/>
        </w:rPr>
        <w:t xml:space="preserve">have indeed been </w:t>
      </w:r>
      <w:r w:rsidR="00A3647D" w:rsidRPr="0092337F">
        <w:rPr>
          <w:rFonts w:eastAsia="Calibri" w:cstheme="minorHAnsi"/>
        </w:rPr>
        <w:t xml:space="preserve">reconfirmed by the </w:t>
      </w:r>
      <w:r w:rsidR="0015487B" w:rsidRPr="0092337F">
        <w:rPr>
          <w:rFonts w:eastAsia="Calibri" w:cstheme="minorHAnsi"/>
        </w:rPr>
        <w:t xml:space="preserve">authorities. </w:t>
      </w:r>
      <w:r w:rsidR="00E90F59" w:rsidRPr="0092337F">
        <w:rPr>
          <w:rFonts w:eastAsia="Calibri" w:cstheme="minorHAnsi"/>
        </w:rPr>
        <w:t>T</w:t>
      </w:r>
      <w:r w:rsidR="00DC1131" w:rsidRPr="0092337F">
        <w:rPr>
          <w:rFonts w:eastAsia="Calibri" w:cstheme="minorHAnsi"/>
        </w:rPr>
        <w:t xml:space="preserve">he </w:t>
      </w:r>
      <w:r w:rsidR="00E90F59" w:rsidRPr="0092337F">
        <w:rPr>
          <w:rFonts w:eastAsia="Calibri" w:cstheme="minorHAnsi"/>
        </w:rPr>
        <w:t xml:space="preserve">number of adjustment </w:t>
      </w:r>
      <w:r w:rsidR="005B0406" w:rsidRPr="0092337F">
        <w:rPr>
          <w:rFonts w:eastAsia="Calibri" w:cstheme="minorHAnsi"/>
        </w:rPr>
        <w:t>registrations</w:t>
      </w:r>
      <w:r w:rsidR="00F12FFB" w:rsidRPr="0092337F">
        <w:rPr>
          <w:rFonts w:eastAsia="Calibri" w:cstheme="minorHAnsi"/>
        </w:rPr>
        <w:t xml:space="preserve"> (</w:t>
      </w:r>
      <w:r w:rsidR="007770F0" w:rsidRPr="0092337F">
        <w:rPr>
          <w:rFonts w:eastAsia="Calibri" w:cstheme="minorHAnsi"/>
        </w:rPr>
        <w:t>33,631)</w:t>
      </w:r>
      <w:r w:rsidR="00F624AC" w:rsidRPr="0092337F">
        <w:rPr>
          <w:rFonts w:eastAsia="Calibri" w:cstheme="minorHAnsi"/>
        </w:rPr>
        <w:t xml:space="preserve"> </w:t>
      </w:r>
      <w:r w:rsidR="001F6E34" w:rsidRPr="0092337F">
        <w:rPr>
          <w:rFonts w:eastAsia="Calibri" w:cstheme="minorHAnsi"/>
        </w:rPr>
        <w:t>seem</w:t>
      </w:r>
      <w:r w:rsidR="0001299C" w:rsidRPr="0092337F">
        <w:rPr>
          <w:rFonts w:eastAsia="Calibri" w:cstheme="minorHAnsi"/>
        </w:rPr>
        <w:t>s</w:t>
      </w:r>
      <w:r w:rsidR="001F6E34" w:rsidRPr="0092337F">
        <w:rPr>
          <w:rFonts w:eastAsia="Calibri" w:cstheme="minorHAnsi"/>
        </w:rPr>
        <w:t xml:space="preserve"> high in face</w:t>
      </w:r>
      <w:r w:rsidR="00F624AC" w:rsidRPr="0092337F">
        <w:rPr>
          <w:rFonts w:eastAsia="Calibri" w:cstheme="minorHAnsi"/>
        </w:rPr>
        <w:t xml:space="preserve"> of </w:t>
      </w:r>
      <w:r w:rsidR="001F6E34" w:rsidRPr="0092337F">
        <w:rPr>
          <w:rFonts w:eastAsia="Calibri" w:cstheme="minorHAnsi"/>
        </w:rPr>
        <w:t xml:space="preserve">the </w:t>
      </w:r>
      <w:r w:rsidR="00F624AC" w:rsidRPr="0092337F">
        <w:rPr>
          <w:rFonts w:eastAsia="Calibri" w:cstheme="minorHAnsi"/>
        </w:rPr>
        <w:t>authorized accesses</w:t>
      </w:r>
      <w:r w:rsidR="00F12FFB" w:rsidRPr="0092337F">
        <w:rPr>
          <w:rFonts w:eastAsia="Calibri" w:cstheme="minorHAnsi"/>
        </w:rPr>
        <w:t xml:space="preserve"> (2.</w:t>
      </w:r>
      <w:r w:rsidR="007770F0" w:rsidRPr="0092337F">
        <w:rPr>
          <w:rFonts w:eastAsia="Calibri" w:cstheme="minorHAnsi"/>
        </w:rPr>
        <w:t>136)</w:t>
      </w:r>
      <w:r w:rsidR="001F6E34" w:rsidRPr="0092337F">
        <w:rPr>
          <w:rFonts w:eastAsia="Calibri" w:cstheme="minorHAnsi"/>
        </w:rPr>
        <w:t xml:space="preserve"> in the period </w:t>
      </w:r>
      <w:r w:rsidR="00F918E2" w:rsidRPr="0092337F">
        <w:rPr>
          <w:rFonts w:eastAsia="Calibri" w:cstheme="minorHAnsi"/>
        </w:rPr>
        <w:t>PM 2,186</w:t>
      </w:r>
      <w:r w:rsidR="00B93183" w:rsidRPr="0092337F">
        <w:rPr>
          <w:rFonts w:eastAsia="Calibri" w:cstheme="minorHAnsi"/>
        </w:rPr>
        <w:t>/2001</w:t>
      </w:r>
      <w:r w:rsidR="00F918E2" w:rsidRPr="0092337F">
        <w:rPr>
          <w:rFonts w:eastAsia="Calibri" w:cstheme="minorHAnsi"/>
        </w:rPr>
        <w:t xml:space="preserve"> was in force</w:t>
      </w:r>
      <w:r w:rsidR="00484CB0" w:rsidRPr="0092337F">
        <w:rPr>
          <w:rFonts w:eastAsia="Calibri" w:cstheme="minorHAnsi"/>
        </w:rPr>
        <w:t>, while</w:t>
      </w:r>
      <w:r w:rsidR="001C10DC" w:rsidRPr="0092337F">
        <w:rPr>
          <w:rFonts w:eastAsia="Calibri" w:cstheme="minorHAnsi"/>
        </w:rPr>
        <w:t xml:space="preserve"> </w:t>
      </w:r>
      <w:r w:rsidR="00D1790A" w:rsidRPr="0092337F">
        <w:rPr>
          <w:rFonts w:eastAsia="Calibri" w:cstheme="minorHAnsi"/>
        </w:rPr>
        <w:t xml:space="preserve">the number of regularization </w:t>
      </w:r>
      <w:r w:rsidR="005B0406" w:rsidRPr="0092337F">
        <w:rPr>
          <w:rFonts w:eastAsia="Calibri" w:cstheme="minorHAnsi"/>
        </w:rPr>
        <w:t>registrations</w:t>
      </w:r>
      <w:r w:rsidR="00484CB0" w:rsidRPr="0092337F">
        <w:rPr>
          <w:rFonts w:eastAsia="Calibri" w:cstheme="minorHAnsi"/>
        </w:rPr>
        <w:t xml:space="preserve"> (106)</w:t>
      </w:r>
      <w:r w:rsidR="00D1790A" w:rsidRPr="0092337F">
        <w:rPr>
          <w:rFonts w:eastAsia="Calibri" w:cstheme="minorHAnsi"/>
        </w:rPr>
        <w:t xml:space="preserve"> </w:t>
      </w:r>
      <w:r w:rsidR="005B0406" w:rsidRPr="0092337F">
        <w:rPr>
          <w:rFonts w:eastAsia="Calibri" w:cstheme="minorHAnsi"/>
        </w:rPr>
        <w:t>seem</w:t>
      </w:r>
      <w:r w:rsidR="0001299C" w:rsidRPr="0092337F">
        <w:rPr>
          <w:rFonts w:eastAsia="Calibri" w:cstheme="minorHAnsi"/>
        </w:rPr>
        <w:t>s</w:t>
      </w:r>
      <w:r w:rsidR="005B0406" w:rsidRPr="0092337F">
        <w:rPr>
          <w:rFonts w:eastAsia="Calibri" w:cstheme="minorHAnsi"/>
        </w:rPr>
        <w:t xml:space="preserve"> very low</w:t>
      </w:r>
      <w:r w:rsidR="009C64F0" w:rsidRPr="0092337F">
        <w:rPr>
          <w:rFonts w:eastAsia="Calibri" w:cstheme="minorHAnsi"/>
        </w:rPr>
        <w:t xml:space="preserve">. </w:t>
      </w:r>
      <w:r w:rsidR="00D1790A" w:rsidRPr="0092337F">
        <w:rPr>
          <w:rFonts w:eastAsia="Calibri" w:cstheme="minorHAnsi"/>
        </w:rPr>
        <w:t xml:space="preserve"> </w:t>
      </w:r>
      <w:r w:rsidR="009C64F0" w:rsidRPr="0092337F">
        <w:rPr>
          <w:rFonts w:cstheme="minorHAnsi"/>
          <w:color w:val="202124"/>
          <w:shd w:val="clear" w:color="auto" w:fill="FFFFFF"/>
        </w:rPr>
        <w:t xml:space="preserve">The explanation given by the Ministry of the Environment for the </w:t>
      </w:r>
      <w:r w:rsidR="008B6A19" w:rsidRPr="0092337F">
        <w:rPr>
          <w:rFonts w:cstheme="minorHAnsi"/>
          <w:color w:val="202124"/>
          <w:shd w:val="clear" w:color="auto" w:fill="FFFFFF"/>
        </w:rPr>
        <w:t>fact</w:t>
      </w:r>
      <w:r w:rsidR="009C64F0" w:rsidRPr="0092337F">
        <w:rPr>
          <w:rFonts w:cstheme="minorHAnsi"/>
          <w:color w:val="202124"/>
          <w:shd w:val="clear" w:color="auto" w:fill="FFFFFF"/>
        </w:rPr>
        <w:t xml:space="preserve"> was “only users who selected the option "Yes - Regularization" in SisGen form have been accounted</w:t>
      </w:r>
      <w:r w:rsidR="00697CC3" w:rsidRPr="0092337F">
        <w:rPr>
          <w:rFonts w:cstheme="minorHAnsi"/>
          <w:color w:val="202124"/>
          <w:shd w:val="clear" w:color="auto" w:fill="FFFFFF"/>
        </w:rPr>
        <w:t xml:space="preserve"> for”</w:t>
      </w:r>
      <w:r w:rsidR="009C64F0" w:rsidRPr="0092337F">
        <w:rPr>
          <w:rFonts w:cstheme="minorHAnsi"/>
          <w:color w:val="202124"/>
          <w:shd w:val="clear" w:color="auto" w:fill="FFFFFF"/>
        </w:rPr>
        <w:t>.</w:t>
      </w:r>
    </w:p>
    <w:p w14:paraId="5617F717" w14:textId="71F9BA53" w:rsidR="004734EA" w:rsidRPr="00AE3BB4" w:rsidRDefault="004734EA" w:rsidP="00496FEB">
      <w:pPr>
        <w:spacing w:line="257" w:lineRule="auto"/>
        <w:rPr>
          <w:rFonts w:asciiTheme="majorHAnsi" w:eastAsia="Calibri" w:hAnsiTheme="majorHAnsi" w:cstheme="majorHAnsi"/>
        </w:rPr>
      </w:pPr>
    </w:p>
    <w:p w14:paraId="40F09C01" w14:textId="295E3DC4" w:rsidR="00271D67" w:rsidRPr="002F593A" w:rsidRDefault="00271D67" w:rsidP="00C016D0">
      <w:pPr>
        <w:pStyle w:val="Heading3"/>
        <w:numPr>
          <w:ilvl w:val="2"/>
          <w:numId w:val="3"/>
        </w:numPr>
        <w:rPr>
          <w:color w:val="0070C0"/>
        </w:rPr>
      </w:pPr>
      <w:r w:rsidRPr="002F593A">
        <w:rPr>
          <w:color w:val="0070C0"/>
        </w:rPr>
        <w:t xml:space="preserve">Registration by </w:t>
      </w:r>
      <w:r w:rsidR="00A377A9" w:rsidRPr="002F593A">
        <w:rPr>
          <w:color w:val="0070C0"/>
        </w:rPr>
        <w:t>t</w:t>
      </w:r>
      <w:r w:rsidRPr="002F593A">
        <w:rPr>
          <w:color w:val="0070C0"/>
        </w:rPr>
        <w:t xml:space="preserve">ype of </w:t>
      </w:r>
      <w:r w:rsidR="00A377A9" w:rsidRPr="002F593A">
        <w:rPr>
          <w:color w:val="0070C0"/>
        </w:rPr>
        <w:t>a</w:t>
      </w:r>
      <w:r w:rsidRPr="002F593A">
        <w:rPr>
          <w:color w:val="0070C0"/>
        </w:rPr>
        <w:t>ccess to GH and ATK</w:t>
      </w:r>
    </w:p>
    <w:p w14:paraId="0ECA3D1E" w14:textId="4D533B12" w:rsidR="002850DB" w:rsidRPr="0092337F" w:rsidRDefault="002850DB" w:rsidP="002850DB">
      <w:pPr>
        <w:spacing w:line="257" w:lineRule="auto"/>
        <w:rPr>
          <w:rFonts w:cstheme="minorHAnsi"/>
        </w:rPr>
      </w:pPr>
      <w:r w:rsidRPr="0092337F">
        <w:rPr>
          <w:rFonts w:eastAsia="Calibri" w:cstheme="minorHAnsi"/>
        </w:rPr>
        <w:t xml:space="preserve">According to data received in August 2022, the total number of access registrations for GH corresponded to 55,477 or 82.7% of all access registrations in SisGen. Users registered 8,484 or 12.6% of accesses as involving both GH and ATK and 3,152 or 4.7% of the entries constituted access to </w:t>
      </w:r>
      <w:r w:rsidR="002A2C3F" w:rsidRPr="0092337F">
        <w:rPr>
          <w:rFonts w:eastAsia="Calibri" w:cstheme="minorHAnsi"/>
        </w:rPr>
        <w:t>ATK</w:t>
      </w:r>
      <w:r w:rsidRPr="0092337F">
        <w:rPr>
          <w:rFonts w:eastAsia="Calibri" w:cstheme="minorHAnsi"/>
        </w:rPr>
        <w:t>.</w:t>
      </w:r>
    </w:p>
    <w:p w14:paraId="079094EE" w14:textId="77777777" w:rsidR="00A377A9" w:rsidRPr="006C4CE2" w:rsidRDefault="00A377A9" w:rsidP="002850DB">
      <w:pPr>
        <w:spacing w:line="257" w:lineRule="auto"/>
      </w:pPr>
    </w:p>
    <w:p w14:paraId="4DBF09C7" w14:textId="0441C7D0" w:rsidR="00271D67" w:rsidRPr="00CC26C1" w:rsidRDefault="002850DB" w:rsidP="00C016D0">
      <w:pPr>
        <w:pStyle w:val="Heading3"/>
        <w:numPr>
          <w:ilvl w:val="2"/>
          <w:numId w:val="3"/>
        </w:numPr>
        <w:rPr>
          <w:color w:val="0070C0"/>
        </w:rPr>
      </w:pPr>
      <w:r>
        <w:rPr>
          <w:color w:val="0070C0"/>
        </w:rPr>
        <w:t>Access r</w:t>
      </w:r>
      <w:r w:rsidR="00271D67" w:rsidRPr="00CC26C1">
        <w:rPr>
          <w:color w:val="0070C0"/>
        </w:rPr>
        <w:t>egistration</w:t>
      </w:r>
      <w:r w:rsidR="00A377A9">
        <w:rPr>
          <w:color w:val="0070C0"/>
        </w:rPr>
        <w:t>s</w:t>
      </w:r>
      <w:r w:rsidR="00271D67" w:rsidRPr="00CC26C1">
        <w:rPr>
          <w:color w:val="0070C0"/>
        </w:rPr>
        <w:t xml:space="preserve"> by </w:t>
      </w:r>
      <w:r>
        <w:rPr>
          <w:color w:val="0070C0"/>
        </w:rPr>
        <w:t xml:space="preserve">GH </w:t>
      </w:r>
      <w:r w:rsidR="00271D67" w:rsidRPr="00CC26C1">
        <w:rPr>
          <w:color w:val="0070C0"/>
        </w:rPr>
        <w:t xml:space="preserve">origin </w:t>
      </w:r>
    </w:p>
    <w:p w14:paraId="19A248E3" w14:textId="0BEB2860" w:rsidR="00A377A9" w:rsidRPr="0092337F" w:rsidRDefault="00271D67" w:rsidP="00A377A9">
      <w:pPr>
        <w:spacing w:line="257" w:lineRule="auto"/>
        <w:rPr>
          <w:rFonts w:eastAsia="Calibri" w:cstheme="minorHAnsi"/>
        </w:rPr>
      </w:pPr>
      <w:r w:rsidRPr="0092337F">
        <w:rPr>
          <w:rFonts w:eastAsia="Calibri" w:cstheme="minorHAnsi"/>
        </w:rPr>
        <w:t xml:space="preserve">Up </w:t>
      </w:r>
      <w:r w:rsidR="00A377A9" w:rsidRPr="0092337F">
        <w:rPr>
          <w:rFonts w:eastAsia="Calibri" w:cstheme="minorHAnsi"/>
        </w:rPr>
        <w:t xml:space="preserve">to August 2022, according to data received via LAI, most of the GH accessed by users came from </w:t>
      </w:r>
      <w:r w:rsidR="00A377A9" w:rsidRPr="0092337F">
        <w:rPr>
          <w:rFonts w:eastAsia="Calibri" w:cstheme="minorHAnsi"/>
          <w:i/>
          <w:iCs/>
        </w:rPr>
        <w:t>in-situ</w:t>
      </w:r>
      <w:r w:rsidR="00A377A9" w:rsidRPr="0092337F">
        <w:rPr>
          <w:rFonts w:eastAsia="Calibri" w:cstheme="minorHAnsi"/>
        </w:rPr>
        <w:t xml:space="preserve"> sources, that is, directly from their natural habitat, totaling 39,026 or 55%. The GH records related to </w:t>
      </w:r>
      <w:r w:rsidR="00A377A9" w:rsidRPr="0092337F">
        <w:rPr>
          <w:rFonts w:eastAsia="Calibri" w:cstheme="minorHAnsi"/>
          <w:i/>
          <w:iCs/>
        </w:rPr>
        <w:t>ex-situ</w:t>
      </w:r>
      <w:r w:rsidR="00A377A9" w:rsidRPr="0092337F">
        <w:rPr>
          <w:rFonts w:eastAsia="Calibri" w:cstheme="minorHAnsi"/>
        </w:rPr>
        <w:t xml:space="preserve"> access represented 34% of the access registrations (</w:t>
      </w:r>
      <w:r w:rsidR="00C82AC3" w:rsidRPr="0092337F">
        <w:rPr>
          <w:rFonts w:eastAsia="Calibri" w:cstheme="minorHAnsi"/>
        </w:rPr>
        <w:t>i.e.,</w:t>
      </w:r>
      <w:r w:rsidR="00A377A9" w:rsidRPr="0092337F">
        <w:rPr>
          <w:rFonts w:eastAsia="Calibri" w:cstheme="minorHAnsi"/>
        </w:rPr>
        <w:t xml:space="preserve"> 23,910). Access to Brazilian GH information from </w:t>
      </w:r>
      <w:r w:rsidR="00A377A9" w:rsidRPr="0092337F">
        <w:rPr>
          <w:rFonts w:eastAsia="Calibri" w:cstheme="minorHAnsi"/>
          <w:i/>
          <w:iCs/>
        </w:rPr>
        <w:t xml:space="preserve">in silico </w:t>
      </w:r>
      <w:r w:rsidR="00A377A9" w:rsidRPr="0092337F">
        <w:rPr>
          <w:rFonts w:eastAsia="Calibri" w:cstheme="minorHAnsi"/>
        </w:rPr>
        <w:t>sources</w:t>
      </w:r>
      <w:r w:rsidR="00937975" w:rsidRPr="0092337F">
        <w:rPr>
          <w:rFonts w:eastAsia="Calibri" w:cstheme="minorHAnsi"/>
        </w:rPr>
        <w:t xml:space="preserve"> </w:t>
      </w:r>
      <w:r w:rsidR="00A377A9" w:rsidRPr="0092337F">
        <w:rPr>
          <w:rFonts w:eastAsia="Calibri" w:cstheme="minorHAnsi"/>
        </w:rPr>
        <w:t>was equivalent to 1% of the total</w:t>
      </w:r>
      <w:r w:rsidR="00976833" w:rsidRPr="0092337F">
        <w:rPr>
          <w:rFonts w:eastAsia="Calibri" w:cstheme="minorHAnsi"/>
        </w:rPr>
        <w:t xml:space="preserve"> registrations</w:t>
      </w:r>
      <w:r w:rsidR="00A377A9" w:rsidRPr="0092337F">
        <w:rPr>
          <w:rFonts w:eastAsia="Calibri" w:cstheme="minorHAnsi"/>
        </w:rPr>
        <w:t>, representing 822 registrations.</w:t>
      </w:r>
    </w:p>
    <w:p w14:paraId="1FE08B03" w14:textId="01D2F3A7" w:rsidR="00A377A9" w:rsidRPr="000B4F3D" w:rsidRDefault="00A377A9" w:rsidP="002850DB">
      <w:pPr>
        <w:spacing w:line="257" w:lineRule="auto"/>
      </w:pPr>
    </w:p>
    <w:p w14:paraId="0C2E300D" w14:textId="11F1767A" w:rsidR="00271D67" w:rsidRPr="00CC26C1" w:rsidRDefault="00271D67" w:rsidP="00C016D0">
      <w:pPr>
        <w:pStyle w:val="Heading2"/>
        <w:numPr>
          <w:ilvl w:val="2"/>
          <w:numId w:val="3"/>
        </w:numPr>
        <w:rPr>
          <w:color w:val="0070C0"/>
          <w:sz w:val="24"/>
          <w:szCs w:val="24"/>
        </w:rPr>
      </w:pPr>
      <w:r w:rsidRPr="00CC26C1">
        <w:rPr>
          <w:color w:val="0070C0"/>
          <w:sz w:val="24"/>
          <w:szCs w:val="24"/>
        </w:rPr>
        <w:t xml:space="preserve"> Pre-Economic Exploitation Notification </w:t>
      </w:r>
    </w:p>
    <w:p w14:paraId="1F42C869" w14:textId="4E7EBE3F" w:rsidR="002850DB" w:rsidRPr="0092337F" w:rsidRDefault="002850DB" w:rsidP="00DB2DFD">
      <w:pPr>
        <w:rPr>
          <w:rFonts w:eastAsia="Calibri" w:cstheme="minorHAnsi"/>
        </w:rPr>
      </w:pPr>
      <w:r w:rsidRPr="0092337F">
        <w:rPr>
          <w:rFonts w:eastAsia="Calibri" w:cstheme="minorHAnsi"/>
        </w:rPr>
        <w:t>As established by Law 13,123/2015, the product notification must precede the beginning of the economic exploitation of the reproductive material or finished product arising from access to GH/ATK. In the notification, the user declares compliance with the requirements of the legislation and indicates the benefit-sharing</w:t>
      </w:r>
      <w:r w:rsidR="00614976" w:rsidRPr="0092337F">
        <w:rPr>
          <w:rFonts w:eastAsia="Calibri" w:cstheme="minorHAnsi"/>
        </w:rPr>
        <w:t xml:space="preserve"> </w:t>
      </w:r>
      <w:r w:rsidR="00904028" w:rsidRPr="0092337F">
        <w:rPr>
          <w:rFonts w:eastAsia="Calibri" w:cstheme="minorHAnsi"/>
        </w:rPr>
        <w:t>provisions</w:t>
      </w:r>
      <w:r w:rsidRPr="0092337F">
        <w:rPr>
          <w:rFonts w:eastAsia="Calibri" w:cstheme="minorHAnsi"/>
        </w:rPr>
        <w:t xml:space="preserve">, if applicable to its case. Economic exploitation begins when the first invoice for the sale of the finished product or reproductive material is issued. At the time of notification, </w:t>
      </w:r>
      <w:r w:rsidR="001D6C93" w:rsidRPr="0092337F">
        <w:rPr>
          <w:rFonts w:eastAsia="Calibri" w:cstheme="minorHAnsi"/>
        </w:rPr>
        <w:t xml:space="preserve">also </w:t>
      </w:r>
      <w:r w:rsidRPr="0092337F">
        <w:rPr>
          <w:rFonts w:eastAsia="Calibri" w:cstheme="minorHAnsi"/>
        </w:rPr>
        <w:t>GH/ATK users exempted from the sharing of benefits must declare to the authorities</w:t>
      </w:r>
      <w:r w:rsidR="00DB2DFD" w:rsidRPr="0092337F">
        <w:rPr>
          <w:rFonts w:eastAsia="Calibri" w:cstheme="minorHAnsi"/>
        </w:rPr>
        <w:t xml:space="preserve"> </w:t>
      </w:r>
      <w:r w:rsidR="00875CC3" w:rsidRPr="0092337F">
        <w:rPr>
          <w:rFonts w:eastAsia="Calibri" w:cstheme="minorHAnsi"/>
        </w:rPr>
        <w:t>t</w:t>
      </w:r>
      <w:r w:rsidRPr="0092337F">
        <w:rPr>
          <w:rFonts w:eastAsia="Calibri" w:cstheme="minorHAnsi"/>
        </w:rPr>
        <w:t xml:space="preserve">heir legal </w:t>
      </w:r>
      <w:r w:rsidR="001D6C93" w:rsidRPr="0092337F">
        <w:rPr>
          <w:rFonts w:eastAsia="Calibri" w:cstheme="minorHAnsi"/>
        </w:rPr>
        <w:t xml:space="preserve">basis for </w:t>
      </w:r>
      <w:r w:rsidRPr="0092337F">
        <w:rPr>
          <w:rFonts w:eastAsia="Calibri" w:cstheme="minorHAnsi"/>
        </w:rPr>
        <w:t>exemption (example: proof of being a micro or small business)</w:t>
      </w:r>
      <w:r w:rsidR="00904028" w:rsidRPr="0092337F">
        <w:rPr>
          <w:rFonts w:eastAsia="Calibri" w:cstheme="minorHAnsi"/>
        </w:rPr>
        <w:t>.</w:t>
      </w:r>
    </w:p>
    <w:p w14:paraId="34F1165E" w14:textId="0B039770" w:rsidR="002850DB" w:rsidRPr="0092337F" w:rsidRDefault="00271D67" w:rsidP="002850DB">
      <w:pPr>
        <w:rPr>
          <w:rFonts w:eastAsia="Calibri" w:cstheme="minorHAnsi"/>
        </w:rPr>
      </w:pPr>
      <w:r w:rsidRPr="0092337F">
        <w:rPr>
          <w:rFonts w:eastAsia="Calibri" w:cstheme="minorHAnsi"/>
        </w:rPr>
        <w:t xml:space="preserve">As </w:t>
      </w:r>
      <w:r w:rsidR="001D6C93" w:rsidRPr="0092337F">
        <w:rPr>
          <w:rFonts w:eastAsia="Calibri" w:cstheme="minorHAnsi"/>
        </w:rPr>
        <w:t>of</w:t>
      </w:r>
      <w:r w:rsidRPr="0092337F">
        <w:rPr>
          <w:rFonts w:eastAsia="Calibri" w:cstheme="minorHAnsi"/>
        </w:rPr>
        <w:t xml:space="preserve"> August 2022, </w:t>
      </w:r>
      <w:r w:rsidR="001D6C93" w:rsidRPr="0092337F">
        <w:rPr>
          <w:rFonts w:eastAsia="Calibri" w:cstheme="minorHAnsi"/>
        </w:rPr>
        <w:t>the total number of products notified in SisGen since the inception of Law 13,123/2015 reached 12,345, of which 3.6% were for reproductive materials and 96.4% were for finished products. When asked for the share of notifications by benefit sharing option, the Ministry of the Environment provided numbers which seem to be incomplete: i.e., 3,343 notifications for monetary BS; 4,281 for non-monetary BS, and 847 for being exempted from BS. According to these data, there are 3,874 notifications missing; no explanation was provided for this discrepancy.</w:t>
      </w:r>
    </w:p>
    <w:p w14:paraId="2F669231" w14:textId="1FF3EA65" w:rsidR="00271D67" w:rsidRPr="006C4CE2" w:rsidRDefault="00271D67" w:rsidP="54D28F68">
      <w:pPr>
        <w:rPr>
          <w:rFonts w:ascii="Calibri" w:eastAsia="Calibri" w:hAnsi="Calibri" w:cs="Calibri"/>
        </w:rPr>
      </w:pPr>
    </w:p>
    <w:p w14:paraId="72E39332" w14:textId="15D03FC0" w:rsidR="00271D67" w:rsidRPr="00CC26C1" w:rsidRDefault="00271D67" w:rsidP="0092337F">
      <w:pPr>
        <w:pStyle w:val="Heading2"/>
        <w:numPr>
          <w:ilvl w:val="1"/>
          <w:numId w:val="3"/>
        </w:numPr>
        <w:rPr>
          <w:color w:val="0070C0"/>
        </w:rPr>
      </w:pPr>
      <w:r w:rsidRPr="00CC26C1">
        <w:rPr>
          <w:color w:val="0070C0"/>
        </w:rPr>
        <w:lastRenderedPageBreak/>
        <w:t xml:space="preserve">Compliance by the </w:t>
      </w:r>
      <w:r w:rsidR="001D6C93">
        <w:rPr>
          <w:color w:val="0070C0"/>
        </w:rPr>
        <w:t>g</w:t>
      </w:r>
      <w:r w:rsidRPr="00CC26C1">
        <w:rPr>
          <w:color w:val="0070C0"/>
        </w:rPr>
        <w:t>overnment</w:t>
      </w:r>
    </w:p>
    <w:p w14:paraId="3201CE72" w14:textId="77777777" w:rsidR="00B71F1C" w:rsidRPr="00B71F1C" w:rsidRDefault="00B71F1C" w:rsidP="00B71F1C"/>
    <w:p w14:paraId="04A5C158" w14:textId="16642D47" w:rsidR="00271D67" w:rsidRPr="0092337F" w:rsidRDefault="00381B4B" w:rsidP="4DC6C734">
      <w:pPr>
        <w:rPr>
          <w:rFonts w:eastAsia="Calibri" w:cstheme="minorHAnsi"/>
        </w:rPr>
      </w:pPr>
      <w:r w:rsidRPr="0092337F">
        <w:rPr>
          <w:rFonts w:eastAsia="Calibri" w:cstheme="minorHAnsi"/>
        </w:rPr>
        <w:t>Section VII of Decree 8,772/2016 describes t</w:t>
      </w:r>
      <w:r w:rsidR="00271D67" w:rsidRPr="0092337F">
        <w:rPr>
          <w:rFonts w:eastAsia="Calibri" w:cstheme="minorHAnsi"/>
        </w:rPr>
        <w:t xml:space="preserve">he administrative verification procedure. The verification is applicable to cases of </w:t>
      </w:r>
      <w:r w:rsidRPr="0092337F">
        <w:rPr>
          <w:rFonts w:eastAsia="Calibri" w:cstheme="minorHAnsi"/>
        </w:rPr>
        <w:t xml:space="preserve">(1) </w:t>
      </w:r>
      <w:r w:rsidR="00271D67" w:rsidRPr="0092337F">
        <w:rPr>
          <w:rFonts w:eastAsia="Calibri" w:cstheme="minorHAnsi"/>
        </w:rPr>
        <w:t xml:space="preserve">registration of access to GH and ATK, </w:t>
      </w:r>
      <w:r w:rsidRPr="0092337F">
        <w:rPr>
          <w:rFonts w:eastAsia="Calibri" w:cstheme="minorHAnsi"/>
        </w:rPr>
        <w:t xml:space="preserve">(2) </w:t>
      </w:r>
      <w:r w:rsidR="00271D67" w:rsidRPr="0092337F">
        <w:rPr>
          <w:rFonts w:eastAsia="Calibri" w:cstheme="minorHAnsi"/>
        </w:rPr>
        <w:t xml:space="preserve">shipment of GH, and </w:t>
      </w:r>
      <w:r w:rsidRPr="0092337F">
        <w:rPr>
          <w:rFonts w:eastAsia="Calibri" w:cstheme="minorHAnsi"/>
        </w:rPr>
        <w:t xml:space="preserve">(3) </w:t>
      </w:r>
      <w:r w:rsidR="00271D67" w:rsidRPr="0092337F">
        <w:rPr>
          <w:rFonts w:eastAsia="Calibri" w:cstheme="minorHAnsi"/>
        </w:rPr>
        <w:t xml:space="preserve">notification of </w:t>
      </w:r>
      <w:r w:rsidRPr="0092337F">
        <w:rPr>
          <w:rFonts w:eastAsia="Calibri" w:cstheme="minorHAnsi"/>
        </w:rPr>
        <w:t xml:space="preserve">a </w:t>
      </w:r>
      <w:r w:rsidR="00271D67" w:rsidRPr="0092337F">
        <w:rPr>
          <w:rFonts w:eastAsia="Calibri" w:cstheme="minorHAnsi"/>
        </w:rPr>
        <w:t xml:space="preserve">finished product or reproductive material. Therefore, it is a compliance obligation to be carried out by the government itself, under the responsibility </w:t>
      </w:r>
      <w:r w:rsidR="001D6C93" w:rsidRPr="0092337F">
        <w:rPr>
          <w:rFonts w:eastAsia="Calibri" w:cstheme="minorHAnsi"/>
        </w:rPr>
        <w:t>of</w:t>
      </w:r>
      <w:r w:rsidRPr="0092337F">
        <w:rPr>
          <w:rFonts w:eastAsia="Calibri" w:cstheme="minorHAnsi"/>
        </w:rPr>
        <w:t xml:space="preserve"> t</w:t>
      </w:r>
      <w:r w:rsidR="00271D67" w:rsidRPr="0092337F">
        <w:rPr>
          <w:rFonts w:eastAsia="Calibri" w:cstheme="minorHAnsi"/>
        </w:rPr>
        <w:t>he Genetic Heritage Council (CGen).</w:t>
      </w:r>
    </w:p>
    <w:p w14:paraId="2D2256C7" w14:textId="3EE91A67" w:rsidR="00CA1FF3" w:rsidRPr="0092337F" w:rsidRDefault="001D6C93" w:rsidP="00CA1FF3">
      <w:pPr>
        <w:rPr>
          <w:rFonts w:cstheme="minorHAnsi"/>
        </w:rPr>
      </w:pPr>
      <w:r w:rsidRPr="0092337F">
        <w:rPr>
          <w:rFonts w:eastAsia="Calibri" w:cstheme="minorHAnsi"/>
        </w:rPr>
        <w:t xml:space="preserve">By the end of August 2022, the total number of activities needing verification by CGen amounts to 67,113. It is important to highlight that after 60 days, </w:t>
      </w:r>
      <w:r w:rsidR="00C82AC3" w:rsidRPr="0092337F">
        <w:rPr>
          <w:rFonts w:eastAsia="Calibri" w:cstheme="minorHAnsi"/>
        </w:rPr>
        <w:t>SisGen automatically issues a compliance “Certificate” to the user if (</w:t>
      </w:r>
      <w:proofErr w:type="spellStart"/>
      <w:r w:rsidR="00C82AC3" w:rsidRPr="0092337F">
        <w:rPr>
          <w:rFonts w:eastAsia="Calibri" w:cstheme="minorHAnsi"/>
        </w:rPr>
        <w:t>i</w:t>
      </w:r>
      <w:proofErr w:type="spellEnd"/>
      <w:r w:rsidR="00C82AC3" w:rsidRPr="0092337F">
        <w:rPr>
          <w:rFonts w:eastAsia="Calibri" w:cstheme="minorHAnsi"/>
        </w:rPr>
        <w:t xml:space="preserve">) either no verification has been done, or (ii) the verification did not reveal reasons to suspend the administrative process. </w:t>
      </w:r>
      <w:r w:rsidRPr="0092337F">
        <w:rPr>
          <w:rFonts w:eastAsia="Calibri" w:cstheme="minorHAnsi"/>
        </w:rPr>
        <w:t xml:space="preserve">The data received via LAI showed that 66,105 or 98.5% of all activities needing verification were approved by “expiration date”, </w:t>
      </w:r>
      <w:proofErr w:type="gramStart"/>
      <w:r w:rsidRPr="0092337F">
        <w:rPr>
          <w:rFonts w:eastAsia="Calibri" w:cstheme="minorHAnsi"/>
          <w:i/>
          <w:iCs/>
        </w:rPr>
        <w:t>i.e.</w:t>
      </w:r>
      <w:proofErr w:type="gramEnd"/>
      <w:r w:rsidRPr="0092337F">
        <w:rPr>
          <w:rFonts w:eastAsia="Calibri" w:cstheme="minorHAnsi"/>
        </w:rPr>
        <w:t xml:space="preserve"> </w:t>
      </w:r>
      <w:proofErr w:type="spellStart"/>
      <w:r w:rsidRPr="0092337F">
        <w:rPr>
          <w:rFonts w:eastAsia="Calibri" w:cstheme="minorHAnsi"/>
        </w:rPr>
        <w:t>were</w:t>
      </w:r>
      <w:proofErr w:type="spellEnd"/>
      <w:r w:rsidRPr="0092337F">
        <w:rPr>
          <w:rFonts w:eastAsia="Calibri" w:cstheme="minorHAnsi"/>
        </w:rPr>
        <w:t xml:space="preserve"> not verified, and the remaining 1,008 or 1.5% were still within the 60-day verification period. The data provided by the Ministry of the Environment also </w:t>
      </w:r>
      <w:bookmarkStart w:id="10" w:name="_Hlk120481781"/>
      <w:r w:rsidRPr="0092337F">
        <w:rPr>
          <w:rFonts w:eastAsia="Calibri" w:cstheme="minorHAnsi"/>
        </w:rPr>
        <w:t xml:space="preserve">indicated that there were no effective administrative verifications carried out by the government </w:t>
      </w:r>
      <w:bookmarkEnd w:id="10"/>
      <w:r w:rsidRPr="0092337F">
        <w:rPr>
          <w:rFonts w:eastAsia="Calibri" w:cstheme="minorHAnsi"/>
        </w:rPr>
        <w:t xml:space="preserve">and that none of the activities (registrations and notifications) </w:t>
      </w:r>
      <w:r w:rsidR="00CA1FF3" w:rsidRPr="0092337F">
        <w:rPr>
          <w:rFonts w:eastAsia="Calibri" w:cstheme="minorHAnsi"/>
        </w:rPr>
        <w:t xml:space="preserve">was canceled. </w:t>
      </w:r>
    </w:p>
    <w:p w14:paraId="3C5DBF92" w14:textId="04862D84" w:rsidR="00064686" w:rsidRPr="0092337F" w:rsidRDefault="00503326" w:rsidP="5590ED66">
      <w:pPr>
        <w:spacing w:line="257" w:lineRule="auto"/>
        <w:rPr>
          <w:rFonts w:eastAsia="Calibri" w:cstheme="minorHAnsi"/>
        </w:rPr>
      </w:pPr>
      <w:r w:rsidRPr="0092337F">
        <w:rPr>
          <w:rFonts w:eastAsia="Calibri" w:cstheme="minorHAnsi"/>
        </w:rPr>
        <w:t xml:space="preserve">In response to a request for explanation about this lack of </w:t>
      </w:r>
      <w:r w:rsidR="00C82AC3" w:rsidRPr="0092337F">
        <w:rPr>
          <w:rFonts w:eastAsia="Calibri" w:cstheme="minorHAnsi"/>
        </w:rPr>
        <w:t xml:space="preserve">active follow-up </w:t>
      </w:r>
      <w:r w:rsidRPr="0092337F">
        <w:rPr>
          <w:rFonts w:eastAsia="Calibri" w:cstheme="minorHAnsi"/>
        </w:rPr>
        <w:t xml:space="preserve">the Ministry of the Environment stressed that the </w:t>
      </w:r>
      <w:r w:rsidR="00294377" w:rsidRPr="0092337F">
        <w:rPr>
          <w:rFonts w:eastAsia="Calibri" w:cstheme="minorHAnsi"/>
        </w:rPr>
        <w:t xml:space="preserve">fact that </w:t>
      </w:r>
      <w:r w:rsidRPr="0092337F">
        <w:rPr>
          <w:rFonts w:eastAsia="Calibri" w:cstheme="minorHAnsi"/>
        </w:rPr>
        <w:t xml:space="preserve">CGen </w:t>
      </w:r>
      <w:r w:rsidR="00DC6FB4" w:rsidRPr="0092337F">
        <w:rPr>
          <w:rFonts w:eastAsia="Calibri" w:cstheme="minorHAnsi"/>
        </w:rPr>
        <w:t xml:space="preserve">has not been able to verify the validity of the new </w:t>
      </w:r>
      <w:r w:rsidR="00F70846" w:rsidRPr="0092337F">
        <w:rPr>
          <w:rFonts w:eastAsia="Calibri" w:cstheme="minorHAnsi"/>
        </w:rPr>
        <w:t>entries in the legal</w:t>
      </w:r>
      <w:r w:rsidR="00F02495" w:rsidRPr="0092337F">
        <w:rPr>
          <w:rFonts w:eastAsia="Calibri" w:cstheme="minorHAnsi"/>
        </w:rPr>
        <w:t>ly determined timeframe</w:t>
      </w:r>
      <w:r w:rsidR="00F70846" w:rsidRPr="0092337F">
        <w:rPr>
          <w:rFonts w:eastAsia="Calibri" w:cstheme="minorHAnsi"/>
        </w:rPr>
        <w:t xml:space="preserve"> </w:t>
      </w:r>
      <w:r w:rsidRPr="0092337F">
        <w:rPr>
          <w:rFonts w:eastAsia="Calibri" w:cstheme="minorHAnsi"/>
        </w:rPr>
        <w:t>does not mean the unconditional invalidation of this administrative compliance obligation and that in cases of manifest fraud by a user, the President of CGen may cautiously suspend a registration or notification.</w:t>
      </w:r>
    </w:p>
    <w:p w14:paraId="39BA6C0F" w14:textId="77777777" w:rsidR="00503326" w:rsidRPr="00315F42" w:rsidRDefault="00503326" w:rsidP="5590ED66">
      <w:pPr>
        <w:spacing w:line="257" w:lineRule="auto"/>
        <w:rPr>
          <w:rFonts w:asciiTheme="majorHAnsi" w:eastAsia="Calibri" w:hAnsiTheme="majorHAnsi" w:cstheme="majorHAnsi"/>
        </w:rPr>
      </w:pPr>
    </w:p>
    <w:p w14:paraId="6C85FAB8" w14:textId="16463B58" w:rsidR="00271D67" w:rsidRPr="00CC26C1" w:rsidRDefault="00271D67" w:rsidP="00B71F1C">
      <w:pPr>
        <w:pStyle w:val="Heading2"/>
        <w:ind w:firstLine="426"/>
        <w:rPr>
          <w:color w:val="0070C0"/>
        </w:rPr>
      </w:pPr>
      <w:r w:rsidRPr="00CC26C1">
        <w:rPr>
          <w:color w:val="0070C0"/>
        </w:rPr>
        <w:t>4.</w:t>
      </w:r>
      <w:r w:rsidR="00E22E5D">
        <w:rPr>
          <w:color w:val="0070C0"/>
        </w:rPr>
        <w:t>3</w:t>
      </w:r>
      <w:r w:rsidRPr="00CC26C1">
        <w:rPr>
          <w:color w:val="0070C0"/>
        </w:rPr>
        <w:t xml:space="preserve"> Fines and </w:t>
      </w:r>
      <w:bookmarkStart w:id="11" w:name="_Int_w32r8mrt"/>
      <w:r w:rsidRPr="00CC26C1">
        <w:rPr>
          <w:color w:val="0070C0"/>
        </w:rPr>
        <w:t>other risks</w:t>
      </w:r>
      <w:bookmarkEnd w:id="11"/>
      <w:r w:rsidRPr="00CC26C1">
        <w:rPr>
          <w:color w:val="0070C0"/>
        </w:rPr>
        <w:t xml:space="preserve"> </w:t>
      </w:r>
      <w:r w:rsidR="00503326">
        <w:rPr>
          <w:color w:val="0070C0"/>
        </w:rPr>
        <w:t>of</w:t>
      </w:r>
      <w:r w:rsidRPr="00CC26C1">
        <w:rPr>
          <w:color w:val="0070C0"/>
        </w:rPr>
        <w:t xml:space="preserve"> non-compliance</w:t>
      </w:r>
      <w:r w:rsidR="006C2A22" w:rsidRPr="006C2A22">
        <w:rPr>
          <w:rFonts w:cstheme="majorHAnsi"/>
          <w:color w:val="0070C0"/>
          <w:sz w:val="24"/>
          <w:szCs w:val="24"/>
        </w:rPr>
        <w:t xml:space="preserve"> </w:t>
      </w:r>
      <w:r w:rsidR="006C2A22">
        <w:rPr>
          <w:rFonts w:cstheme="majorHAnsi"/>
          <w:color w:val="0070C0"/>
          <w:sz w:val="24"/>
          <w:szCs w:val="24"/>
        </w:rPr>
        <w:t>under Law 13.123/2015</w:t>
      </w:r>
    </w:p>
    <w:p w14:paraId="57B03001" w14:textId="77777777" w:rsidR="00271D67" w:rsidRDefault="00271D67" w:rsidP="00862512"/>
    <w:p w14:paraId="18C94499" w14:textId="0E901C99" w:rsidR="00271D67" w:rsidRPr="00174B55" w:rsidRDefault="00665AF2" w:rsidP="00174B55">
      <w:pPr>
        <w:rPr>
          <w:rFonts w:asciiTheme="majorHAnsi" w:hAnsiTheme="majorHAnsi" w:cstheme="majorHAnsi"/>
          <w:color w:val="0070C0"/>
          <w:sz w:val="24"/>
          <w:szCs w:val="24"/>
        </w:rPr>
      </w:pPr>
      <w:r>
        <w:rPr>
          <w:rFonts w:asciiTheme="majorHAnsi" w:hAnsiTheme="majorHAnsi" w:cstheme="majorHAnsi"/>
          <w:color w:val="0070C0"/>
          <w:sz w:val="24"/>
          <w:szCs w:val="24"/>
        </w:rPr>
        <w:t xml:space="preserve">   </w:t>
      </w:r>
      <w:r w:rsidR="0092337F">
        <w:rPr>
          <w:rFonts w:asciiTheme="majorHAnsi" w:hAnsiTheme="majorHAnsi" w:cstheme="majorHAnsi"/>
          <w:color w:val="0070C0"/>
          <w:sz w:val="24"/>
          <w:szCs w:val="24"/>
        </w:rPr>
        <w:t xml:space="preserve">   </w:t>
      </w:r>
      <w:r>
        <w:rPr>
          <w:rFonts w:asciiTheme="majorHAnsi" w:hAnsiTheme="majorHAnsi" w:cstheme="majorHAnsi"/>
          <w:color w:val="0070C0"/>
          <w:sz w:val="24"/>
          <w:szCs w:val="24"/>
        </w:rPr>
        <w:t xml:space="preserve"> </w:t>
      </w:r>
      <w:r w:rsidR="00271D67" w:rsidRPr="00174B55">
        <w:rPr>
          <w:rFonts w:asciiTheme="majorHAnsi" w:hAnsiTheme="majorHAnsi" w:cstheme="majorHAnsi"/>
          <w:color w:val="0070C0"/>
          <w:sz w:val="24"/>
          <w:szCs w:val="24"/>
        </w:rPr>
        <w:t>4.</w:t>
      </w:r>
      <w:r w:rsidR="00E22E5D">
        <w:rPr>
          <w:rFonts w:asciiTheme="majorHAnsi" w:hAnsiTheme="majorHAnsi" w:cstheme="majorHAnsi"/>
          <w:color w:val="0070C0"/>
          <w:sz w:val="24"/>
          <w:szCs w:val="24"/>
        </w:rPr>
        <w:t>3</w:t>
      </w:r>
      <w:r w:rsidR="00271D67" w:rsidRPr="00174B55">
        <w:rPr>
          <w:rFonts w:asciiTheme="majorHAnsi" w:hAnsiTheme="majorHAnsi" w:cstheme="majorHAnsi"/>
          <w:color w:val="0070C0"/>
          <w:sz w:val="24"/>
          <w:szCs w:val="24"/>
        </w:rPr>
        <w:t>.</w:t>
      </w:r>
      <w:r w:rsidR="006C2A22">
        <w:rPr>
          <w:rFonts w:asciiTheme="majorHAnsi" w:hAnsiTheme="majorHAnsi" w:cstheme="majorHAnsi"/>
          <w:color w:val="0070C0"/>
          <w:sz w:val="24"/>
          <w:szCs w:val="24"/>
        </w:rPr>
        <w:t>1</w:t>
      </w:r>
      <w:r w:rsidR="00271D67" w:rsidRPr="00174B55">
        <w:rPr>
          <w:rFonts w:asciiTheme="majorHAnsi" w:hAnsiTheme="majorHAnsi" w:cstheme="majorHAnsi"/>
          <w:color w:val="0070C0"/>
          <w:sz w:val="24"/>
          <w:szCs w:val="24"/>
        </w:rPr>
        <w:t xml:space="preserve"> Compliance </w:t>
      </w:r>
      <w:r w:rsidR="00F835BA">
        <w:rPr>
          <w:rFonts w:asciiTheme="majorHAnsi" w:hAnsiTheme="majorHAnsi" w:cstheme="majorHAnsi"/>
          <w:color w:val="0070C0"/>
          <w:sz w:val="24"/>
          <w:szCs w:val="24"/>
        </w:rPr>
        <w:t>r</w:t>
      </w:r>
      <w:r w:rsidR="00271D67" w:rsidRPr="00174B55">
        <w:rPr>
          <w:rFonts w:asciiTheme="majorHAnsi" w:hAnsiTheme="majorHAnsi" w:cstheme="majorHAnsi"/>
          <w:color w:val="0070C0"/>
          <w:sz w:val="24"/>
          <w:szCs w:val="24"/>
        </w:rPr>
        <w:t>isk</w:t>
      </w:r>
      <w:r w:rsidR="00174B55">
        <w:rPr>
          <w:rFonts w:asciiTheme="majorHAnsi" w:hAnsiTheme="majorHAnsi" w:cstheme="majorHAnsi"/>
          <w:color w:val="0070C0"/>
          <w:sz w:val="24"/>
          <w:szCs w:val="24"/>
        </w:rPr>
        <w:t>s</w:t>
      </w:r>
      <w:r w:rsidR="00271D67" w:rsidRPr="00174B55">
        <w:rPr>
          <w:rFonts w:asciiTheme="majorHAnsi" w:hAnsiTheme="majorHAnsi" w:cstheme="majorHAnsi"/>
          <w:color w:val="0070C0"/>
          <w:sz w:val="24"/>
          <w:szCs w:val="24"/>
        </w:rPr>
        <w:t xml:space="preserve"> for GH/ATK users</w:t>
      </w:r>
      <w:r w:rsidR="00D41538">
        <w:rPr>
          <w:rFonts w:asciiTheme="majorHAnsi" w:hAnsiTheme="majorHAnsi" w:cstheme="majorHAnsi"/>
          <w:color w:val="0070C0"/>
          <w:sz w:val="24"/>
          <w:szCs w:val="24"/>
        </w:rPr>
        <w:t xml:space="preserve"> </w:t>
      </w:r>
    </w:p>
    <w:p w14:paraId="74E6D138" w14:textId="77777777" w:rsidR="00FD6FD9" w:rsidRPr="0092337F" w:rsidRDefault="00271D67" w:rsidP="00F65A22">
      <w:pPr>
        <w:spacing w:line="257" w:lineRule="auto"/>
        <w:rPr>
          <w:rFonts w:eastAsia="Calibri" w:cstheme="minorHAnsi"/>
        </w:rPr>
      </w:pPr>
      <w:r w:rsidRPr="0092337F">
        <w:rPr>
          <w:rFonts w:eastAsia="Calibri" w:cstheme="minorHAnsi"/>
        </w:rPr>
        <w:t xml:space="preserve">According to Law 13,123/2015, </w:t>
      </w:r>
      <w:r w:rsidR="00174B55" w:rsidRPr="0092337F">
        <w:rPr>
          <w:rFonts w:eastAsia="Calibri" w:cstheme="minorHAnsi"/>
        </w:rPr>
        <w:t xml:space="preserve">a </w:t>
      </w:r>
      <w:r w:rsidRPr="0092337F">
        <w:rPr>
          <w:rFonts w:eastAsia="Calibri" w:cstheme="minorHAnsi"/>
        </w:rPr>
        <w:t xml:space="preserve">“user” is defined as a natural or legal person who accesses </w:t>
      </w:r>
      <w:r w:rsidR="00F65A22" w:rsidRPr="0092337F">
        <w:rPr>
          <w:rFonts w:eastAsia="Calibri" w:cstheme="minorHAnsi"/>
        </w:rPr>
        <w:t xml:space="preserve">GH/ATK or economically exploits a finished product or reproductive material resulting from access to GH/ATK. </w:t>
      </w:r>
    </w:p>
    <w:p w14:paraId="239D6471" w14:textId="139B1547" w:rsidR="00F65A22" w:rsidRPr="0092337F" w:rsidRDefault="005D6960" w:rsidP="00F65A22">
      <w:pPr>
        <w:spacing w:line="257" w:lineRule="auto"/>
        <w:rPr>
          <w:rFonts w:eastAsia="Calibri" w:cstheme="minorHAnsi"/>
        </w:rPr>
      </w:pPr>
      <w:r w:rsidRPr="0092337F">
        <w:rPr>
          <w:rFonts w:eastAsia="Calibri" w:cstheme="minorHAnsi"/>
        </w:rPr>
        <w:t>Because of</w:t>
      </w:r>
      <w:r w:rsidR="00F65A22" w:rsidRPr="0092337F">
        <w:rPr>
          <w:rFonts w:eastAsia="Calibri" w:cstheme="minorHAnsi"/>
        </w:rPr>
        <w:t xml:space="preserve"> the broad scope of the </w:t>
      </w:r>
      <w:r w:rsidR="008F6CB4" w:rsidRPr="0092337F">
        <w:rPr>
          <w:rFonts w:eastAsia="Calibri" w:cstheme="minorHAnsi"/>
        </w:rPr>
        <w:t xml:space="preserve">concepts defined in </w:t>
      </w:r>
      <w:r w:rsidR="00F65A22" w:rsidRPr="0092337F">
        <w:rPr>
          <w:rFonts w:eastAsia="Calibri" w:cstheme="minorHAnsi"/>
        </w:rPr>
        <w:t xml:space="preserve">Law 13,123/2015, as </w:t>
      </w:r>
      <w:r w:rsidR="00B36C48" w:rsidRPr="0092337F">
        <w:rPr>
          <w:rFonts w:eastAsia="Calibri" w:cstheme="minorHAnsi"/>
        </w:rPr>
        <w:t xml:space="preserve">described in Appendix </w:t>
      </w:r>
      <w:r w:rsidR="00BF602B" w:rsidRPr="0092337F">
        <w:rPr>
          <w:rFonts w:eastAsia="Calibri" w:cstheme="minorHAnsi"/>
        </w:rPr>
        <w:t>C</w:t>
      </w:r>
      <w:r w:rsidR="00F65A22" w:rsidRPr="0092337F">
        <w:rPr>
          <w:rFonts w:eastAsia="Calibri" w:cstheme="minorHAnsi"/>
        </w:rPr>
        <w:t xml:space="preserve">, </w:t>
      </w:r>
      <w:r w:rsidR="00E06BFF" w:rsidRPr="0092337F">
        <w:rPr>
          <w:rFonts w:eastAsia="Calibri" w:cstheme="minorHAnsi"/>
        </w:rPr>
        <w:t xml:space="preserve">its </w:t>
      </w:r>
      <w:r w:rsidR="00A14F68" w:rsidRPr="0092337F">
        <w:rPr>
          <w:rFonts w:eastAsia="Calibri" w:cstheme="minorHAnsi"/>
        </w:rPr>
        <w:t xml:space="preserve">compliance </w:t>
      </w:r>
      <w:r w:rsidR="00E06BFF" w:rsidRPr="0092337F">
        <w:rPr>
          <w:rFonts w:eastAsia="Calibri" w:cstheme="minorHAnsi"/>
        </w:rPr>
        <w:t>requirements</w:t>
      </w:r>
      <w:r w:rsidR="00A14F68" w:rsidRPr="0092337F">
        <w:rPr>
          <w:rFonts w:eastAsia="Calibri" w:cstheme="minorHAnsi"/>
        </w:rPr>
        <w:t xml:space="preserve"> reach </w:t>
      </w:r>
      <w:r w:rsidR="00F65A22" w:rsidRPr="0092337F">
        <w:rPr>
          <w:rFonts w:eastAsia="Calibri" w:cstheme="minorHAnsi"/>
        </w:rPr>
        <w:t xml:space="preserve">not only </w:t>
      </w:r>
      <w:r w:rsidR="00630EBE" w:rsidRPr="0092337F">
        <w:rPr>
          <w:rFonts w:eastAsia="Calibri" w:cstheme="minorHAnsi"/>
        </w:rPr>
        <w:t>usual applications</w:t>
      </w:r>
      <w:r w:rsidR="00F65A22" w:rsidRPr="0092337F">
        <w:rPr>
          <w:rFonts w:eastAsia="Calibri" w:cstheme="minorHAnsi"/>
        </w:rPr>
        <w:t xml:space="preserve"> of GH/ATK in the agribusiness, pharmaceutical, or cosmetics sectors, involving research on and/or technological development </w:t>
      </w:r>
      <w:r w:rsidR="002223AC" w:rsidRPr="0092337F">
        <w:rPr>
          <w:rFonts w:eastAsia="Calibri" w:cstheme="minorHAnsi"/>
        </w:rPr>
        <w:t xml:space="preserve">from </w:t>
      </w:r>
      <w:r w:rsidR="00F65A22" w:rsidRPr="0092337F">
        <w:rPr>
          <w:rFonts w:eastAsia="Calibri" w:cstheme="minorHAnsi"/>
        </w:rPr>
        <w:t xml:space="preserve">tangible </w:t>
      </w:r>
      <w:r w:rsidR="00F276C6" w:rsidRPr="0092337F">
        <w:rPr>
          <w:rFonts w:eastAsia="Calibri" w:cstheme="minorHAnsi"/>
        </w:rPr>
        <w:t>biological</w:t>
      </w:r>
      <w:r w:rsidR="00F65A22" w:rsidRPr="0092337F">
        <w:rPr>
          <w:rFonts w:eastAsia="Calibri" w:cstheme="minorHAnsi"/>
        </w:rPr>
        <w:t xml:space="preserve"> materials. In addition, users </w:t>
      </w:r>
      <w:r w:rsidR="002F4256" w:rsidRPr="0092337F">
        <w:rPr>
          <w:rFonts w:eastAsia="Calibri" w:cstheme="minorHAnsi"/>
        </w:rPr>
        <w:t xml:space="preserve">who research and develop products or services based on </w:t>
      </w:r>
      <w:r w:rsidR="00CB2553" w:rsidRPr="0092337F">
        <w:rPr>
          <w:rFonts w:eastAsia="Calibri" w:cstheme="minorHAnsi"/>
        </w:rPr>
        <w:t>GH/ATK</w:t>
      </w:r>
      <w:r w:rsidR="00596438" w:rsidRPr="0092337F">
        <w:rPr>
          <w:rFonts w:eastAsia="Calibri" w:cstheme="minorHAnsi"/>
        </w:rPr>
        <w:t xml:space="preserve"> information</w:t>
      </w:r>
      <w:r w:rsidR="002B5AE9" w:rsidRPr="0092337F">
        <w:rPr>
          <w:rFonts w:eastAsia="Calibri" w:cstheme="minorHAnsi"/>
        </w:rPr>
        <w:t>, such as precision agriculture</w:t>
      </w:r>
      <w:r w:rsidR="00B53872" w:rsidRPr="0092337F">
        <w:rPr>
          <w:rFonts w:eastAsia="Calibri" w:cstheme="minorHAnsi"/>
        </w:rPr>
        <w:t xml:space="preserve"> services</w:t>
      </w:r>
      <w:r w:rsidR="00292C76" w:rsidRPr="0092337F">
        <w:rPr>
          <w:rFonts w:eastAsia="Calibri" w:cstheme="minorHAnsi"/>
        </w:rPr>
        <w:t xml:space="preserve"> and</w:t>
      </w:r>
      <w:r w:rsidR="002B5AE9" w:rsidRPr="0092337F">
        <w:rPr>
          <w:rFonts w:eastAsia="Calibri" w:cstheme="minorHAnsi"/>
        </w:rPr>
        <w:t xml:space="preserve"> educational products</w:t>
      </w:r>
      <w:r w:rsidR="00292C76" w:rsidRPr="0092337F">
        <w:rPr>
          <w:rFonts w:eastAsia="Calibri" w:cstheme="minorHAnsi"/>
        </w:rPr>
        <w:t xml:space="preserve"> on Brazilian </w:t>
      </w:r>
      <w:r w:rsidR="004E377B" w:rsidRPr="0092337F">
        <w:rPr>
          <w:rFonts w:eastAsia="Calibri" w:cstheme="minorHAnsi"/>
        </w:rPr>
        <w:t>biodiversity</w:t>
      </w:r>
      <w:r w:rsidR="007600E9" w:rsidRPr="0092337F">
        <w:rPr>
          <w:rFonts w:eastAsia="Calibri" w:cstheme="minorHAnsi"/>
        </w:rPr>
        <w:t xml:space="preserve"> may be impacted</w:t>
      </w:r>
      <w:r w:rsidR="00F65A22" w:rsidRPr="0092337F">
        <w:rPr>
          <w:rFonts w:eastAsia="Calibri" w:cstheme="minorHAnsi"/>
        </w:rPr>
        <w:t xml:space="preserve">. </w:t>
      </w:r>
    </w:p>
    <w:p w14:paraId="2AD8A399" w14:textId="77777777" w:rsidR="00F65A22" w:rsidRPr="0092337F" w:rsidRDefault="00271D67" w:rsidP="00F65A22">
      <w:pPr>
        <w:spacing w:line="257" w:lineRule="auto"/>
        <w:rPr>
          <w:rFonts w:eastAsia="Calibri" w:cstheme="minorHAnsi"/>
        </w:rPr>
      </w:pPr>
      <w:r w:rsidRPr="0092337F">
        <w:rPr>
          <w:rFonts w:eastAsia="Calibri" w:cstheme="minorHAnsi"/>
        </w:rPr>
        <w:t xml:space="preserve">Companies operating in all those industries, if accessing GH/ATK information should be aware </w:t>
      </w:r>
      <w:bookmarkStart w:id="12" w:name="_Int_0bb8nof5"/>
      <w:r w:rsidRPr="0092337F">
        <w:rPr>
          <w:rFonts w:eastAsia="Calibri" w:cstheme="minorHAnsi"/>
        </w:rPr>
        <w:t>of the</w:t>
      </w:r>
      <w:bookmarkEnd w:id="12"/>
      <w:r w:rsidRPr="0092337F">
        <w:rPr>
          <w:rFonts w:eastAsia="Calibri" w:cstheme="minorHAnsi"/>
        </w:rPr>
        <w:t xml:space="preserve"> compliances triggers needing registration in SisGen. </w:t>
      </w:r>
    </w:p>
    <w:p w14:paraId="1435795B" w14:textId="2908286D" w:rsidR="00FE6748" w:rsidRPr="0092337F" w:rsidRDefault="00271D67" w:rsidP="00F65A22">
      <w:pPr>
        <w:spacing w:line="257" w:lineRule="auto"/>
        <w:rPr>
          <w:rFonts w:eastAsia="Calibri" w:cstheme="minorHAnsi"/>
        </w:rPr>
      </w:pPr>
      <w:r w:rsidRPr="0092337F">
        <w:rPr>
          <w:rFonts w:eastAsia="Calibri" w:cstheme="minorHAnsi"/>
        </w:rPr>
        <w:t xml:space="preserve">To do a preliminary study on </w:t>
      </w:r>
      <w:r w:rsidR="00A210DB" w:rsidRPr="0092337F">
        <w:rPr>
          <w:rFonts w:eastAsia="Calibri" w:cstheme="minorHAnsi"/>
        </w:rPr>
        <w:t xml:space="preserve">the level of </w:t>
      </w:r>
      <w:r w:rsidRPr="0092337F">
        <w:rPr>
          <w:rFonts w:eastAsia="Calibri" w:cstheme="minorHAnsi"/>
        </w:rPr>
        <w:t>compliance</w:t>
      </w:r>
      <w:r w:rsidR="00A210DB" w:rsidRPr="0092337F">
        <w:rPr>
          <w:rFonts w:eastAsia="Calibri" w:cstheme="minorHAnsi"/>
        </w:rPr>
        <w:t xml:space="preserve"> </w:t>
      </w:r>
      <w:r w:rsidR="005F582E" w:rsidRPr="0092337F">
        <w:rPr>
          <w:rFonts w:eastAsia="Calibri" w:cstheme="minorHAnsi"/>
        </w:rPr>
        <w:t>of companies with</w:t>
      </w:r>
      <w:r w:rsidR="00A210DB" w:rsidRPr="0092337F">
        <w:rPr>
          <w:rFonts w:eastAsia="Calibri" w:cstheme="minorHAnsi"/>
        </w:rPr>
        <w:t xml:space="preserve"> </w:t>
      </w:r>
      <w:r w:rsidR="00B801DA" w:rsidRPr="0092337F">
        <w:rPr>
          <w:rFonts w:eastAsia="Calibri" w:cstheme="minorHAnsi"/>
        </w:rPr>
        <w:t xml:space="preserve">the requirements of </w:t>
      </w:r>
      <w:r w:rsidR="00281330" w:rsidRPr="0092337F">
        <w:rPr>
          <w:rFonts w:eastAsia="Calibri" w:cstheme="minorHAnsi"/>
        </w:rPr>
        <w:t>Law 13,123/2015</w:t>
      </w:r>
      <w:r w:rsidRPr="0092337F">
        <w:rPr>
          <w:rFonts w:eastAsia="Calibri" w:cstheme="minorHAnsi"/>
        </w:rPr>
        <w:t>, the authors conservatively considered that after December 2019, all extra</w:t>
      </w:r>
      <w:r w:rsidRPr="54D28F68">
        <w:rPr>
          <w:rFonts w:ascii="Calibri" w:eastAsia="Calibri" w:hAnsi="Calibri" w:cs="Calibri"/>
        </w:rPr>
        <w:t xml:space="preserve"> </w:t>
      </w:r>
      <w:r w:rsidRPr="0092337F">
        <w:rPr>
          <w:rFonts w:eastAsia="Calibri" w:cstheme="minorHAnsi"/>
        </w:rPr>
        <w:lastRenderedPageBreak/>
        <w:t>institutions validated on SisGen (see Figure 2) were business</w:t>
      </w:r>
      <w:r w:rsidR="00FE6748" w:rsidRPr="0092337F">
        <w:rPr>
          <w:rFonts w:eastAsia="Calibri" w:cstheme="minorHAnsi"/>
        </w:rPr>
        <w:t xml:space="preserve"> entities (i.e., 440 + 99 = 539 business entities duly validated in the system). </w:t>
      </w:r>
    </w:p>
    <w:p w14:paraId="469355EC" w14:textId="300CC58E" w:rsidR="00271D67" w:rsidRPr="0092337F" w:rsidRDefault="00271D67" w:rsidP="5590ED66">
      <w:pPr>
        <w:spacing w:line="257" w:lineRule="auto"/>
        <w:rPr>
          <w:rFonts w:eastAsia="Calibri" w:cstheme="minorHAnsi"/>
        </w:rPr>
      </w:pPr>
      <w:r w:rsidRPr="0092337F">
        <w:rPr>
          <w:rFonts w:eastAsia="Calibri" w:cstheme="minorHAnsi"/>
        </w:rPr>
        <w:t xml:space="preserve">Some assumptions had to be made on the number of companies that developed at least one </w:t>
      </w:r>
      <w:r w:rsidR="00F65A22" w:rsidRPr="0092337F">
        <w:rPr>
          <w:rFonts w:eastAsia="Calibri" w:cstheme="minorHAnsi"/>
        </w:rPr>
        <w:t>single activity with Brazilian GH and/or ATK, and thus should comply with the current regulatory framework, including registration on SisGen.</w:t>
      </w:r>
    </w:p>
    <w:p w14:paraId="2B44E490" w14:textId="77777777" w:rsidR="00EC4449" w:rsidRPr="0092337F" w:rsidRDefault="00271D67" w:rsidP="00F65A22">
      <w:pPr>
        <w:spacing w:line="257" w:lineRule="auto"/>
        <w:rPr>
          <w:rFonts w:eastAsia="Calibri" w:cstheme="minorHAnsi"/>
        </w:rPr>
      </w:pPr>
      <w:r w:rsidRPr="0092337F">
        <w:rPr>
          <w:rFonts w:eastAsia="Calibri" w:cstheme="minorHAnsi"/>
        </w:rPr>
        <w:t xml:space="preserve">According to </w:t>
      </w:r>
      <w:r w:rsidR="00F65A22" w:rsidRPr="0092337F">
        <w:rPr>
          <w:rFonts w:eastAsia="Calibri" w:cstheme="minorHAnsi"/>
        </w:rPr>
        <w:t>d</w:t>
      </w:r>
      <w:r w:rsidRPr="0092337F">
        <w:rPr>
          <w:rFonts w:eastAsia="Calibri" w:cstheme="minorHAnsi"/>
        </w:rPr>
        <w:t>ata from the SEBRAE Portal</w:t>
      </w:r>
      <w:r w:rsidRPr="0092337F">
        <w:rPr>
          <w:rStyle w:val="EndnoteReference"/>
          <w:rFonts w:eastAsia="Calibri" w:cstheme="minorHAnsi"/>
        </w:rPr>
        <w:endnoteReference w:id="19"/>
      </w:r>
      <w:r w:rsidRPr="0092337F">
        <w:rPr>
          <w:rFonts w:eastAsia="Calibri" w:cstheme="minorHAnsi"/>
        </w:rPr>
        <w:t xml:space="preserve"> </w:t>
      </w:r>
      <w:r w:rsidR="3F7734D5" w:rsidRPr="0092337F">
        <w:rPr>
          <w:rFonts w:eastAsia="Calibri" w:cstheme="minorHAnsi"/>
        </w:rPr>
        <w:t>retrieved in November 2021, there were 19 million companies (</w:t>
      </w:r>
      <w:r w:rsidR="00684DEA" w:rsidRPr="0092337F">
        <w:rPr>
          <w:rFonts w:eastAsia="Calibri" w:cstheme="minorHAnsi"/>
        </w:rPr>
        <w:t>micro</w:t>
      </w:r>
      <w:r w:rsidR="004045B0" w:rsidRPr="0092337F">
        <w:rPr>
          <w:rFonts w:eastAsia="Calibri" w:cstheme="minorHAnsi"/>
        </w:rPr>
        <w:t xml:space="preserve">, </w:t>
      </w:r>
      <w:r w:rsidR="00684DEA" w:rsidRPr="0092337F">
        <w:rPr>
          <w:rFonts w:eastAsia="Calibri" w:cstheme="minorHAnsi"/>
        </w:rPr>
        <w:t>small</w:t>
      </w:r>
      <w:r w:rsidR="004045B0" w:rsidRPr="0092337F">
        <w:rPr>
          <w:rFonts w:eastAsia="Calibri" w:cstheme="minorHAnsi"/>
        </w:rPr>
        <w:t>, medium and large</w:t>
      </w:r>
      <w:r w:rsidR="3F7734D5" w:rsidRPr="0092337F">
        <w:rPr>
          <w:rFonts w:eastAsia="Calibri" w:cstheme="minorHAnsi"/>
        </w:rPr>
        <w:t xml:space="preserve">) active in Brazil. </w:t>
      </w:r>
      <w:r w:rsidR="00EA36F7" w:rsidRPr="0092337F">
        <w:rPr>
          <w:rFonts w:eastAsia="Calibri" w:cstheme="minorHAnsi"/>
        </w:rPr>
        <w:t>Among them</w:t>
      </w:r>
      <w:r w:rsidR="00EC4449" w:rsidRPr="0092337F">
        <w:rPr>
          <w:rFonts w:eastAsia="Calibri" w:cstheme="minorHAnsi"/>
        </w:rPr>
        <w:t>,</w:t>
      </w:r>
      <w:r w:rsidR="3F7734D5" w:rsidRPr="0092337F">
        <w:rPr>
          <w:rFonts w:eastAsia="Calibri" w:cstheme="minorHAnsi"/>
        </w:rPr>
        <w:t xml:space="preserve"> 11.6 million or 59% of companies were from the </w:t>
      </w:r>
      <w:r w:rsidR="00F65A22" w:rsidRPr="0092337F">
        <w:rPr>
          <w:rFonts w:eastAsia="Calibri" w:cstheme="minorHAnsi"/>
        </w:rPr>
        <w:t xml:space="preserve">Agriculture, Industry, and Service sectors (group A); and the remaining 41% or 7.4 million were from the Commerce and Civil Construction sectors (group B). </w:t>
      </w:r>
    </w:p>
    <w:p w14:paraId="2E534D8E" w14:textId="6A6DB2F8" w:rsidR="00F65A22" w:rsidRPr="0092337F" w:rsidRDefault="00EC4449" w:rsidP="00F65A22">
      <w:pPr>
        <w:spacing w:line="257" w:lineRule="auto"/>
        <w:rPr>
          <w:rFonts w:cstheme="minorHAnsi"/>
        </w:rPr>
      </w:pPr>
      <w:r w:rsidRPr="0092337F">
        <w:rPr>
          <w:rFonts w:eastAsia="Calibri" w:cstheme="minorHAnsi"/>
        </w:rPr>
        <w:t xml:space="preserve">The authors selected </w:t>
      </w:r>
      <w:r w:rsidR="00F65A22" w:rsidRPr="0092337F">
        <w:rPr>
          <w:rFonts w:eastAsia="Calibri" w:cstheme="minorHAnsi"/>
        </w:rPr>
        <w:t xml:space="preserve">Group A as </w:t>
      </w:r>
      <w:r w:rsidR="001E4D39" w:rsidRPr="0092337F">
        <w:rPr>
          <w:rFonts w:eastAsia="Calibri" w:cstheme="minorHAnsi"/>
        </w:rPr>
        <w:t xml:space="preserve">a proxy to </w:t>
      </w:r>
      <w:r w:rsidR="00F65A22" w:rsidRPr="0092337F">
        <w:rPr>
          <w:rFonts w:eastAsia="Calibri" w:cstheme="minorHAnsi"/>
        </w:rPr>
        <w:t>the potential universe of the GH/</w:t>
      </w:r>
      <w:r w:rsidRPr="0092337F">
        <w:rPr>
          <w:rFonts w:eastAsia="Calibri" w:cstheme="minorHAnsi"/>
        </w:rPr>
        <w:t>A</w:t>
      </w:r>
      <w:r w:rsidR="00F65A22" w:rsidRPr="0092337F">
        <w:rPr>
          <w:rFonts w:eastAsia="Calibri" w:cstheme="minorHAnsi"/>
        </w:rPr>
        <w:t xml:space="preserve">TK users due to </w:t>
      </w:r>
      <w:r w:rsidR="001E4D39" w:rsidRPr="0092337F">
        <w:rPr>
          <w:rFonts w:eastAsia="Calibri" w:cstheme="minorHAnsi"/>
        </w:rPr>
        <w:t>the high</w:t>
      </w:r>
      <w:r w:rsidR="000626C4" w:rsidRPr="0092337F">
        <w:rPr>
          <w:rFonts w:eastAsia="Calibri" w:cstheme="minorHAnsi"/>
        </w:rPr>
        <w:t>er</w:t>
      </w:r>
      <w:r w:rsidR="00F65A22" w:rsidRPr="0092337F">
        <w:rPr>
          <w:rFonts w:eastAsia="Calibri" w:cstheme="minorHAnsi"/>
        </w:rPr>
        <w:t xml:space="preserve"> probability of </w:t>
      </w:r>
      <w:r w:rsidR="000626C4" w:rsidRPr="0092337F">
        <w:rPr>
          <w:rFonts w:eastAsia="Calibri" w:cstheme="minorHAnsi"/>
        </w:rPr>
        <w:t xml:space="preserve">companies </w:t>
      </w:r>
      <w:r w:rsidR="008A506F" w:rsidRPr="0092337F">
        <w:rPr>
          <w:rFonts w:eastAsia="Calibri" w:cstheme="minorHAnsi"/>
        </w:rPr>
        <w:t>i</w:t>
      </w:r>
      <w:r w:rsidR="000626C4" w:rsidRPr="0092337F">
        <w:rPr>
          <w:rFonts w:eastAsia="Calibri" w:cstheme="minorHAnsi"/>
        </w:rPr>
        <w:t xml:space="preserve">n this </w:t>
      </w:r>
      <w:r w:rsidR="008A506F" w:rsidRPr="0092337F">
        <w:rPr>
          <w:rFonts w:eastAsia="Calibri" w:cstheme="minorHAnsi"/>
        </w:rPr>
        <w:t>group to perform</w:t>
      </w:r>
      <w:r w:rsidR="00F65A22" w:rsidRPr="0092337F">
        <w:rPr>
          <w:rFonts w:eastAsia="Calibri" w:cstheme="minorHAnsi"/>
        </w:rPr>
        <w:t xml:space="preserve"> </w:t>
      </w:r>
      <w:r w:rsidR="00771F01" w:rsidRPr="0092337F">
        <w:rPr>
          <w:rFonts w:eastAsia="Calibri" w:cstheme="minorHAnsi"/>
        </w:rPr>
        <w:t>research</w:t>
      </w:r>
      <w:r w:rsidR="00050D8F" w:rsidRPr="0092337F">
        <w:rPr>
          <w:rFonts w:eastAsia="Calibri" w:cstheme="minorHAnsi"/>
        </w:rPr>
        <w:t xml:space="preserve"> and</w:t>
      </w:r>
      <w:r w:rsidR="00370841" w:rsidRPr="0092337F">
        <w:rPr>
          <w:rFonts w:eastAsia="Calibri" w:cstheme="minorHAnsi"/>
        </w:rPr>
        <w:t xml:space="preserve"> </w:t>
      </w:r>
      <w:r w:rsidR="00771F01" w:rsidRPr="0092337F">
        <w:rPr>
          <w:rFonts w:eastAsia="Calibri" w:cstheme="minorHAnsi"/>
        </w:rPr>
        <w:t xml:space="preserve">development </w:t>
      </w:r>
      <w:r w:rsidR="004D64A9" w:rsidRPr="0092337F">
        <w:rPr>
          <w:rFonts w:eastAsia="Calibri" w:cstheme="minorHAnsi"/>
        </w:rPr>
        <w:t xml:space="preserve">activities </w:t>
      </w:r>
      <w:r w:rsidR="00A4088D" w:rsidRPr="0092337F">
        <w:rPr>
          <w:rFonts w:eastAsia="Calibri" w:cstheme="minorHAnsi"/>
        </w:rPr>
        <w:t>based on</w:t>
      </w:r>
      <w:r w:rsidR="00771F01" w:rsidRPr="0092337F">
        <w:rPr>
          <w:rFonts w:eastAsia="Calibri" w:cstheme="minorHAnsi"/>
        </w:rPr>
        <w:t xml:space="preserve"> </w:t>
      </w:r>
      <w:r w:rsidR="00F65A22" w:rsidRPr="0092337F">
        <w:rPr>
          <w:rFonts w:eastAsia="Calibri" w:cstheme="minorHAnsi"/>
        </w:rPr>
        <w:t>Brazilian GH/ATK</w:t>
      </w:r>
      <w:r w:rsidR="00370841" w:rsidRPr="0092337F">
        <w:rPr>
          <w:rFonts w:eastAsia="Calibri" w:cstheme="minorHAnsi"/>
        </w:rPr>
        <w:t xml:space="preserve"> information</w:t>
      </w:r>
      <w:r w:rsidR="001E4D39" w:rsidRPr="0092337F">
        <w:rPr>
          <w:rFonts w:eastAsia="Calibri" w:cstheme="minorHAnsi"/>
        </w:rPr>
        <w:t>.</w:t>
      </w:r>
    </w:p>
    <w:p w14:paraId="7B948CD7" w14:textId="77777777" w:rsidR="00AD5FF7" w:rsidRDefault="54D28F68" w:rsidP="00F65A22">
      <w:pPr>
        <w:spacing w:line="257" w:lineRule="auto"/>
        <w:rPr>
          <w:rFonts w:ascii="Calibri" w:eastAsia="Calibri" w:hAnsi="Calibri" w:cs="Calibri"/>
        </w:rPr>
      </w:pPr>
      <w:r w:rsidRPr="0092337F">
        <w:rPr>
          <w:rFonts w:eastAsia="Calibri" w:cstheme="minorHAnsi"/>
        </w:rPr>
        <w:t xml:space="preserve">Three compliance scenarios were </w:t>
      </w:r>
      <w:r w:rsidR="00F65A22" w:rsidRPr="0092337F">
        <w:rPr>
          <w:rFonts w:eastAsia="Calibri" w:cstheme="minorHAnsi"/>
        </w:rPr>
        <w:t xml:space="preserve">considered in the analysis shown in Table </w:t>
      </w:r>
      <w:r w:rsidR="00075391" w:rsidRPr="0092337F">
        <w:rPr>
          <w:rFonts w:eastAsia="Calibri" w:cstheme="minorHAnsi"/>
        </w:rPr>
        <w:t>VI.</w:t>
      </w:r>
      <w:r w:rsidR="00F65A22" w:rsidRPr="0092337F">
        <w:rPr>
          <w:rFonts w:eastAsia="Calibri" w:cstheme="minorHAnsi"/>
        </w:rPr>
        <w:t xml:space="preserve"> Scenario </w:t>
      </w:r>
      <w:r w:rsidR="00053624" w:rsidRPr="0092337F">
        <w:rPr>
          <w:rFonts w:eastAsia="Calibri" w:cstheme="minorHAnsi"/>
        </w:rPr>
        <w:t>1</w:t>
      </w:r>
      <w:r w:rsidR="00DA6920" w:rsidRPr="0092337F">
        <w:rPr>
          <w:rFonts w:eastAsia="Calibri" w:cstheme="minorHAnsi"/>
        </w:rPr>
        <w:t xml:space="preserve">: </w:t>
      </w:r>
      <w:r w:rsidR="00F65A22" w:rsidRPr="0092337F">
        <w:rPr>
          <w:rFonts w:eastAsia="Calibri" w:cstheme="minorHAnsi"/>
        </w:rPr>
        <w:t xml:space="preserve">0,01% of the companies of Group A accessed Brazilian GH/ATK; Scenario 2: 0,1% of companies </w:t>
      </w:r>
      <w:r w:rsidR="00AD5FF7" w:rsidRPr="0092337F">
        <w:rPr>
          <w:rFonts w:eastAsia="Calibri" w:cstheme="minorHAnsi"/>
        </w:rPr>
        <w:t xml:space="preserve">of Group A </w:t>
      </w:r>
      <w:r w:rsidR="00F65A22" w:rsidRPr="0092337F">
        <w:rPr>
          <w:rFonts w:eastAsia="Calibri" w:cstheme="minorHAnsi"/>
        </w:rPr>
        <w:t>did so; and Scenario 3: 1% of the total accessed GH/ATK</w:t>
      </w:r>
      <w:r w:rsidR="00F65A22" w:rsidRPr="54D28F68">
        <w:rPr>
          <w:rFonts w:ascii="Calibri" w:eastAsia="Calibri" w:hAnsi="Calibri" w:cs="Calibri"/>
        </w:rPr>
        <w:t xml:space="preserve">. </w:t>
      </w:r>
    </w:p>
    <w:p w14:paraId="0A91A258" w14:textId="18042D03" w:rsidR="5590ED66" w:rsidRPr="00586EFF" w:rsidRDefault="54D28F68" w:rsidP="5590ED66">
      <w:pPr>
        <w:spacing w:line="257" w:lineRule="auto"/>
        <w:rPr>
          <w:rFonts w:ascii="Calibri" w:eastAsia="Calibri" w:hAnsi="Calibri" w:cs="Calibri"/>
          <w:i/>
          <w:iCs/>
        </w:rPr>
      </w:pPr>
      <w:r w:rsidRPr="00586EFF">
        <w:rPr>
          <w:rFonts w:ascii="Calibri" w:eastAsia="Calibri" w:hAnsi="Calibri" w:cs="Calibri"/>
          <w:b/>
          <w:bCs/>
          <w:i/>
          <w:iCs/>
        </w:rPr>
        <w:t>Table V</w:t>
      </w:r>
      <w:r w:rsidR="00075391">
        <w:rPr>
          <w:rFonts w:ascii="Calibri" w:eastAsia="Calibri" w:hAnsi="Calibri" w:cs="Calibri"/>
          <w:b/>
          <w:bCs/>
          <w:i/>
          <w:iCs/>
        </w:rPr>
        <w:t>I</w:t>
      </w:r>
      <w:r w:rsidRPr="00586EFF">
        <w:rPr>
          <w:rFonts w:ascii="Calibri" w:eastAsia="Calibri" w:hAnsi="Calibri" w:cs="Calibri"/>
          <w:b/>
          <w:bCs/>
          <w:i/>
          <w:iCs/>
        </w:rPr>
        <w:t>.</w:t>
      </w:r>
      <w:r w:rsidRPr="00586EFF">
        <w:rPr>
          <w:rFonts w:ascii="Calibri" w:eastAsia="Calibri" w:hAnsi="Calibri" w:cs="Calibri"/>
          <w:i/>
          <w:iCs/>
        </w:rPr>
        <w:t xml:space="preserve"> Three compliance scenarios </w:t>
      </w:r>
      <w:r w:rsidR="00F65A22">
        <w:rPr>
          <w:rFonts w:ascii="Calibri" w:eastAsia="Calibri" w:hAnsi="Calibri" w:cs="Calibri"/>
          <w:i/>
          <w:iCs/>
        </w:rPr>
        <w:t>considered</w:t>
      </w:r>
      <w:r w:rsidRPr="00586EFF">
        <w:rPr>
          <w:rFonts w:ascii="Calibri" w:eastAsia="Calibri" w:hAnsi="Calibri" w:cs="Calibri"/>
          <w:i/>
          <w:iCs/>
        </w:rPr>
        <w:t xml:space="preserve"> for business users of </w:t>
      </w:r>
      <w:r w:rsidR="00F65A22">
        <w:rPr>
          <w:rFonts w:ascii="Calibri" w:eastAsia="Calibri" w:hAnsi="Calibri" w:cs="Calibri"/>
          <w:i/>
          <w:iCs/>
        </w:rPr>
        <w:t xml:space="preserve">the </w:t>
      </w:r>
      <w:r w:rsidRPr="00586EFF">
        <w:rPr>
          <w:rFonts w:ascii="Calibri" w:eastAsia="Calibri" w:hAnsi="Calibri" w:cs="Calibri"/>
          <w:i/>
          <w:iCs/>
        </w:rPr>
        <w:t xml:space="preserve">Agriculture, Industry, and Service sectors </w:t>
      </w:r>
      <w:r w:rsidR="00F65A22">
        <w:rPr>
          <w:rFonts w:ascii="Calibri" w:eastAsia="Calibri" w:hAnsi="Calibri" w:cs="Calibri"/>
          <w:i/>
          <w:iCs/>
        </w:rPr>
        <w:t xml:space="preserve">(Group A) </w:t>
      </w:r>
      <w:r w:rsidRPr="00586EFF">
        <w:rPr>
          <w:rFonts w:ascii="Calibri" w:eastAsia="Calibri" w:hAnsi="Calibri" w:cs="Calibri"/>
          <w:i/>
          <w:iCs/>
        </w:rPr>
        <w:t>related to the current Brazilian ABS legislation. Compan</w:t>
      </w:r>
      <w:r w:rsidR="00F65A22">
        <w:rPr>
          <w:rFonts w:ascii="Calibri" w:eastAsia="Calibri" w:hAnsi="Calibri" w:cs="Calibri"/>
          <w:i/>
          <w:iCs/>
        </w:rPr>
        <w:t>y</w:t>
      </w:r>
      <w:r w:rsidRPr="00586EFF">
        <w:rPr>
          <w:rFonts w:ascii="Calibri" w:eastAsia="Calibri" w:hAnsi="Calibri" w:cs="Calibri"/>
          <w:i/>
          <w:iCs/>
        </w:rPr>
        <w:t xml:space="preserve"> data from SEBRAE Portal and SisGen data from LAI. </w:t>
      </w:r>
    </w:p>
    <w:tbl>
      <w:tblPr>
        <w:tblStyle w:val="TableGrid"/>
        <w:tblW w:w="8647" w:type="dxa"/>
        <w:tblLayout w:type="fixed"/>
        <w:tblLook w:val="04A0" w:firstRow="1" w:lastRow="0" w:firstColumn="1" w:lastColumn="0" w:noHBand="0" w:noVBand="1"/>
      </w:tblPr>
      <w:tblGrid>
        <w:gridCol w:w="3686"/>
        <w:gridCol w:w="1984"/>
        <w:gridCol w:w="2977"/>
      </w:tblGrid>
      <w:tr w:rsidR="00EA5D00" w:rsidRPr="001904F7" w14:paraId="17B5B50B" w14:textId="77777777" w:rsidTr="00F519EF">
        <w:tc>
          <w:tcPr>
            <w:tcW w:w="3686"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5360FC72" w14:textId="4AC18299" w:rsidR="008A5150" w:rsidRPr="001904F7" w:rsidRDefault="008A5150" w:rsidP="0092337F">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Companies in</w:t>
            </w:r>
          </w:p>
          <w:p w14:paraId="25494592" w14:textId="2489BE94" w:rsidR="008A5150" w:rsidRPr="001904F7" w:rsidRDefault="008A5150" w:rsidP="0092337F">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Group A</w:t>
            </w:r>
          </w:p>
        </w:tc>
        <w:tc>
          <w:tcPr>
            <w:tcW w:w="198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79656C30" w14:textId="3B7221DC" w:rsidR="008A5150" w:rsidRPr="001904F7" w:rsidRDefault="008A5150" w:rsidP="0092337F">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Number of companies</w:t>
            </w:r>
          </w:p>
        </w:tc>
        <w:tc>
          <w:tcPr>
            <w:tcW w:w="2977" w:type="dxa"/>
            <w:vMerge w:val="restar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vAlign w:val="center"/>
          </w:tcPr>
          <w:p w14:paraId="299501C1" w14:textId="7CBBF19C" w:rsidR="008A5150" w:rsidRPr="001904F7" w:rsidRDefault="008A5150" w:rsidP="0092337F">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Hypothetical</w:t>
            </w:r>
          </w:p>
          <w:p w14:paraId="1C73670D" w14:textId="5130D931" w:rsidR="008A5150" w:rsidRPr="001904F7" w:rsidRDefault="008A5150" w:rsidP="0092337F">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compliance level</w:t>
            </w:r>
          </w:p>
        </w:tc>
      </w:tr>
      <w:tr w:rsidR="008A5150" w:rsidRPr="001904F7" w14:paraId="75A621FA" w14:textId="77777777" w:rsidTr="007B2BD4">
        <w:tc>
          <w:tcPr>
            <w:tcW w:w="3686"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tcPr>
          <w:p w14:paraId="4F3085C6" w14:textId="77777777" w:rsidR="008A5150" w:rsidRPr="001904F7" w:rsidRDefault="008A5150" w:rsidP="07D91B0E">
            <w:pPr>
              <w:rPr>
                <w:rFonts w:ascii="Calibri" w:eastAsia="Calibri" w:hAnsi="Calibri" w:cs="Calibri"/>
                <w:b/>
                <w:bCs/>
                <w:sz w:val="20"/>
                <w:szCs w:val="20"/>
              </w:rPr>
            </w:pPr>
          </w:p>
        </w:tc>
        <w:tc>
          <w:tcPr>
            <w:tcW w:w="1984"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1388E8FB" w14:textId="20120CCE" w:rsidR="008A5150" w:rsidRPr="001904F7" w:rsidRDefault="008A5150" w:rsidP="00EA5D00">
            <w:pPr>
              <w:jc w:val="center"/>
              <w:rPr>
                <w:rFonts w:ascii="Calibri" w:eastAsia="Calibri" w:hAnsi="Calibri" w:cs="Calibri"/>
                <w:b/>
                <w:bCs/>
                <w:color w:val="FFFFFF" w:themeColor="background1"/>
                <w:sz w:val="20"/>
                <w:szCs w:val="20"/>
              </w:rPr>
            </w:pPr>
            <w:r w:rsidRPr="001904F7">
              <w:rPr>
                <w:rFonts w:ascii="Calibri" w:eastAsia="Calibri" w:hAnsi="Calibri" w:cs="Calibri"/>
                <w:b/>
                <w:bCs/>
                <w:color w:val="FFFFFF" w:themeColor="background1"/>
                <w:sz w:val="20"/>
                <w:szCs w:val="20"/>
              </w:rPr>
              <w:t>11,618,307</w:t>
            </w:r>
          </w:p>
        </w:tc>
        <w:tc>
          <w:tcPr>
            <w:tcW w:w="2977" w:type="dxa"/>
            <w:vMerge/>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9E2F3" w:themeFill="accent1" w:themeFillTint="33"/>
          </w:tcPr>
          <w:p w14:paraId="065E95D1" w14:textId="77777777" w:rsidR="008A5150" w:rsidRPr="001904F7" w:rsidRDefault="008A5150" w:rsidP="07D91B0E">
            <w:pPr>
              <w:jc w:val="right"/>
              <w:rPr>
                <w:rFonts w:ascii="Calibri" w:eastAsia="Calibri" w:hAnsi="Calibri" w:cs="Calibri"/>
                <w:b/>
                <w:bCs/>
                <w:color w:val="FFFFFF" w:themeColor="background1"/>
                <w:sz w:val="20"/>
                <w:szCs w:val="20"/>
              </w:rPr>
            </w:pPr>
          </w:p>
        </w:tc>
      </w:tr>
      <w:tr w:rsidR="281DC5F8" w:rsidRPr="001904F7" w14:paraId="5289CC73" w14:textId="77777777" w:rsidTr="007B2BD4">
        <w:tc>
          <w:tcPr>
            <w:tcW w:w="3686" w:type="dxa"/>
            <w:tcBorders>
              <w:top w:val="single" w:sz="18" w:space="0" w:color="FFFFFF" w:themeColor="background1"/>
              <w:left w:val="nil"/>
              <w:bottom w:val="single" w:sz="2" w:space="0" w:color="0070C0"/>
              <w:right w:val="single" w:sz="2" w:space="0" w:color="0070C0"/>
            </w:tcBorders>
          </w:tcPr>
          <w:p w14:paraId="08CF25F1" w14:textId="6E7E6B7B" w:rsidR="281DC5F8" w:rsidRPr="001904F7" w:rsidRDefault="1642B811">
            <w:pPr>
              <w:rPr>
                <w:sz w:val="20"/>
                <w:szCs w:val="20"/>
              </w:rPr>
            </w:pPr>
            <w:r w:rsidRPr="001904F7">
              <w:rPr>
                <w:rFonts w:ascii="Calibri" w:eastAsia="Calibri" w:hAnsi="Calibri" w:cs="Calibri"/>
                <w:sz w:val="20"/>
                <w:szCs w:val="20"/>
              </w:rPr>
              <w:t>Business Institutions Validated on SisGen (August 2022)</w:t>
            </w:r>
          </w:p>
        </w:tc>
        <w:tc>
          <w:tcPr>
            <w:tcW w:w="1984" w:type="dxa"/>
            <w:tcBorders>
              <w:top w:val="single" w:sz="18" w:space="0" w:color="FFFFFF" w:themeColor="background1"/>
              <w:left w:val="single" w:sz="2" w:space="0" w:color="0070C0"/>
              <w:bottom w:val="single" w:sz="2" w:space="0" w:color="0070C0"/>
              <w:right w:val="single" w:sz="2" w:space="0" w:color="0070C0"/>
            </w:tcBorders>
          </w:tcPr>
          <w:p w14:paraId="39E2E8D3" w14:textId="4BE107EA" w:rsidR="281DC5F8" w:rsidRPr="001904F7" w:rsidRDefault="07D91B0E" w:rsidP="281DC5F8">
            <w:pPr>
              <w:jc w:val="right"/>
              <w:rPr>
                <w:sz w:val="20"/>
                <w:szCs w:val="20"/>
              </w:rPr>
            </w:pPr>
            <w:r w:rsidRPr="001904F7">
              <w:rPr>
                <w:rFonts w:ascii="Calibri" w:eastAsia="Calibri" w:hAnsi="Calibri" w:cs="Calibri"/>
                <w:sz w:val="20"/>
                <w:szCs w:val="20"/>
              </w:rPr>
              <w:t>539</w:t>
            </w:r>
          </w:p>
        </w:tc>
        <w:tc>
          <w:tcPr>
            <w:tcW w:w="2977" w:type="dxa"/>
            <w:tcBorders>
              <w:top w:val="single" w:sz="18" w:space="0" w:color="FFFFFF" w:themeColor="background1"/>
              <w:left w:val="single" w:sz="2" w:space="0" w:color="0070C0"/>
              <w:bottom w:val="single" w:sz="2" w:space="0" w:color="0070C0"/>
              <w:right w:val="nil"/>
            </w:tcBorders>
          </w:tcPr>
          <w:p w14:paraId="68C31F4E" w14:textId="63610FCE" w:rsidR="281DC5F8" w:rsidRPr="001904F7" w:rsidRDefault="281DC5F8" w:rsidP="281DC5F8">
            <w:pPr>
              <w:jc w:val="right"/>
              <w:rPr>
                <w:sz w:val="20"/>
                <w:szCs w:val="20"/>
              </w:rPr>
            </w:pPr>
            <w:r w:rsidRPr="001904F7">
              <w:rPr>
                <w:rFonts w:ascii="Calibri" w:eastAsia="Calibri" w:hAnsi="Calibri" w:cs="Calibri"/>
                <w:sz w:val="20"/>
                <w:szCs w:val="20"/>
              </w:rPr>
              <w:t>100</w:t>
            </w:r>
            <w:r w:rsidR="00474933" w:rsidRPr="001904F7">
              <w:rPr>
                <w:rFonts w:ascii="Calibri" w:eastAsia="Calibri" w:hAnsi="Calibri" w:cs="Calibri"/>
                <w:sz w:val="20"/>
                <w:szCs w:val="20"/>
              </w:rPr>
              <w:t xml:space="preserve"> </w:t>
            </w:r>
            <w:r w:rsidRPr="001904F7">
              <w:rPr>
                <w:rFonts w:ascii="Calibri" w:eastAsia="Calibri" w:hAnsi="Calibri" w:cs="Calibri"/>
                <w:sz w:val="20"/>
                <w:szCs w:val="20"/>
              </w:rPr>
              <w:t>%</w:t>
            </w:r>
          </w:p>
        </w:tc>
      </w:tr>
      <w:tr w:rsidR="281DC5F8" w:rsidRPr="001904F7" w14:paraId="6058524B" w14:textId="77777777" w:rsidTr="007B2BD4">
        <w:tc>
          <w:tcPr>
            <w:tcW w:w="3686" w:type="dxa"/>
            <w:tcBorders>
              <w:top w:val="single" w:sz="2" w:space="0" w:color="0070C0"/>
              <w:left w:val="nil"/>
              <w:bottom w:val="single" w:sz="2" w:space="0" w:color="0070C0"/>
              <w:right w:val="single" w:sz="2" w:space="0" w:color="0070C0"/>
            </w:tcBorders>
          </w:tcPr>
          <w:p w14:paraId="489A0E87" w14:textId="63F564B0" w:rsidR="281DC5F8" w:rsidRPr="001904F7" w:rsidRDefault="54D28F68">
            <w:pPr>
              <w:rPr>
                <w:sz w:val="20"/>
                <w:szCs w:val="20"/>
              </w:rPr>
            </w:pPr>
            <w:r w:rsidRPr="001904F7">
              <w:rPr>
                <w:rFonts w:ascii="Calibri" w:eastAsia="Calibri" w:hAnsi="Calibri" w:cs="Calibri"/>
                <w:sz w:val="20"/>
                <w:szCs w:val="20"/>
              </w:rPr>
              <w:t xml:space="preserve">Scenario – 1: </w:t>
            </w:r>
            <w:r w:rsidR="00586EFF" w:rsidRPr="001904F7">
              <w:rPr>
                <w:rFonts w:ascii="Calibri" w:eastAsia="Calibri" w:hAnsi="Calibri" w:cs="Calibri"/>
                <w:sz w:val="20"/>
                <w:szCs w:val="20"/>
              </w:rPr>
              <w:t xml:space="preserve">   ≥ </w:t>
            </w:r>
            <w:r w:rsidRPr="001904F7">
              <w:rPr>
                <w:rFonts w:ascii="Calibri" w:eastAsia="Calibri" w:hAnsi="Calibri" w:cs="Calibri"/>
                <w:sz w:val="20"/>
                <w:szCs w:val="20"/>
              </w:rPr>
              <w:t>0,01%</w:t>
            </w:r>
          </w:p>
        </w:tc>
        <w:tc>
          <w:tcPr>
            <w:tcW w:w="1984" w:type="dxa"/>
            <w:tcBorders>
              <w:top w:val="single" w:sz="2" w:space="0" w:color="0070C0"/>
              <w:left w:val="single" w:sz="2" w:space="0" w:color="0070C0"/>
              <w:bottom w:val="single" w:sz="2" w:space="0" w:color="0070C0"/>
              <w:right w:val="single" w:sz="2" w:space="0" w:color="0070C0"/>
            </w:tcBorders>
          </w:tcPr>
          <w:p w14:paraId="0C5D05F2" w14:textId="40876984" w:rsidR="281DC5F8" w:rsidRPr="001904F7" w:rsidRDefault="281DC5F8" w:rsidP="281DC5F8">
            <w:pPr>
              <w:jc w:val="right"/>
              <w:rPr>
                <w:sz w:val="20"/>
                <w:szCs w:val="20"/>
              </w:rPr>
            </w:pPr>
            <w:r w:rsidRPr="001904F7">
              <w:rPr>
                <w:rFonts w:ascii="Calibri" w:eastAsia="Calibri" w:hAnsi="Calibri" w:cs="Calibri"/>
                <w:sz w:val="20"/>
                <w:szCs w:val="20"/>
              </w:rPr>
              <w:t>1,162</w:t>
            </w:r>
          </w:p>
        </w:tc>
        <w:tc>
          <w:tcPr>
            <w:tcW w:w="2977" w:type="dxa"/>
            <w:tcBorders>
              <w:top w:val="single" w:sz="2" w:space="0" w:color="0070C0"/>
              <w:left w:val="single" w:sz="2" w:space="0" w:color="0070C0"/>
              <w:bottom w:val="single" w:sz="2" w:space="0" w:color="0070C0"/>
              <w:right w:val="nil"/>
            </w:tcBorders>
          </w:tcPr>
          <w:p w14:paraId="3F12CF0A" w14:textId="59B0D35F" w:rsidR="281DC5F8" w:rsidRPr="001904F7" w:rsidRDefault="281DC5F8" w:rsidP="281DC5F8">
            <w:pPr>
              <w:jc w:val="right"/>
              <w:rPr>
                <w:sz w:val="20"/>
                <w:szCs w:val="20"/>
              </w:rPr>
            </w:pPr>
            <w:r w:rsidRPr="001904F7">
              <w:rPr>
                <w:rFonts w:ascii="Calibri" w:eastAsia="Calibri" w:hAnsi="Calibri" w:cs="Calibri"/>
                <w:sz w:val="20"/>
                <w:szCs w:val="20"/>
              </w:rPr>
              <w:t>46.38 %</w:t>
            </w:r>
          </w:p>
        </w:tc>
      </w:tr>
      <w:tr w:rsidR="281DC5F8" w:rsidRPr="001904F7" w14:paraId="76C39A88" w14:textId="77777777" w:rsidTr="007B2BD4">
        <w:tc>
          <w:tcPr>
            <w:tcW w:w="3686" w:type="dxa"/>
            <w:tcBorders>
              <w:top w:val="single" w:sz="2" w:space="0" w:color="0070C0"/>
              <w:left w:val="nil"/>
              <w:bottom w:val="single" w:sz="2" w:space="0" w:color="0070C0"/>
              <w:right w:val="single" w:sz="2" w:space="0" w:color="0070C0"/>
            </w:tcBorders>
          </w:tcPr>
          <w:p w14:paraId="4F9FFB93" w14:textId="14B83A89" w:rsidR="281DC5F8" w:rsidRPr="001904F7" w:rsidRDefault="54D28F68">
            <w:pPr>
              <w:rPr>
                <w:sz w:val="20"/>
                <w:szCs w:val="20"/>
              </w:rPr>
            </w:pPr>
            <w:r w:rsidRPr="001904F7">
              <w:rPr>
                <w:rFonts w:ascii="Calibri" w:eastAsia="Calibri" w:hAnsi="Calibri" w:cs="Calibri"/>
                <w:sz w:val="20"/>
                <w:szCs w:val="20"/>
              </w:rPr>
              <w:t xml:space="preserve">Scenario – 2:    </w:t>
            </w:r>
            <w:r w:rsidR="00586EFF" w:rsidRPr="001904F7">
              <w:rPr>
                <w:rFonts w:ascii="Calibri" w:eastAsia="Calibri" w:hAnsi="Calibri" w:cs="Calibri"/>
                <w:sz w:val="20"/>
                <w:szCs w:val="20"/>
              </w:rPr>
              <w:t xml:space="preserve">≥ </w:t>
            </w:r>
            <w:r w:rsidRPr="001904F7">
              <w:rPr>
                <w:rFonts w:ascii="Calibri" w:eastAsia="Calibri" w:hAnsi="Calibri" w:cs="Calibri"/>
                <w:sz w:val="20"/>
                <w:szCs w:val="20"/>
              </w:rPr>
              <w:t>0,1%</w:t>
            </w:r>
          </w:p>
        </w:tc>
        <w:tc>
          <w:tcPr>
            <w:tcW w:w="1984" w:type="dxa"/>
            <w:tcBorders>
              <w:top w:val="single" w:sz="2" w:space="0" w:color="0070C0"/>
              <w:left w:val="single" w:sz="2" w:space="0" w:color="0070C0"/>
              <w:bottom w:val="single" w:sz="2" w:space="0" w:color="0070C0"/>
              <w:right w:val="single" w:sz="2" w:space="0" w:color="0070C0"/>
            </w:tcBorders>
            <w:vAlign w:val="bottom"/>
          </w:tcPr>
          <w:p w14:paraId="6D53A222" w14:textId="7A21D235" w:rsidR="281DC5F8" w:rsidRPr="001904F7" w:rsidRDefault="281DC5F8" w:rsidP="281DC5F8">
            <w:pPr>
              <w:jc w:val="right"/>
              <w:rPr>
                <w:sz w:val="20"/>
                <w:szCs w:val="20"/>
              </w:rPr>
            </w:pPr>
            <w:r w:rsidRPr="001904F7">
              <w:rPr>
                <w:rFonts w:ascii="Calibri" w:eastAsia="Calibri" w:hAnsi="Calibri" w:cs="Calibri"/>
                <w:color w:val="000000" w:themeColor="text1"/>
                <w:sz w:val="20"/>
                <w:szCs w:val="20"/>
              </w:rPr>
              <w:t>11,618</w:t>
            </w:r>
          </w:p>
        </w:tc>
        <w:tc>
          <w:tcPr>
            <w:tcW w:w="2977" w:type="dxa"/>
            <w:tcBorders>
              <w:top w:val="single" w:sz="2" w:space="0" w:color="0070C0"/>
              <w:left w:val="single" w:sz="2" w:space="0" w:color="0070C0"/>
              <w:bottom w:val="single" w:sz="2" w:space="0" w:color="0070C0"/>
              <w:right w:val="nil"/>
            </w:tcBorders>
          </w:tcPr>
          <w:p w14:paraId="0856C844" w14:textId="5F52B45F" w:rsidR="281DC5F8" w:rsidRPr="001904F7" w:rsidRDefault="281DC5F8" w:rsidP="281DC5F8">
            <w:pPr>
              <w:jc w:val="right"/>
              <w:rPr>
                <w:sz w:val="20"/>
                <w:szCs w:val="20"/>
              </w:rPr>
            </w:pPr>
            <w:r w:rsidRPr="001904F7">
              <w:rPr>
                <w:rFonts w:ascii="Calibri" w:eastAsia="Calibri" w:hAnsi="Calibri" w:cs="Calibri"/>
                <w:sz w:val="20"/>
                <w:szCs w:val="20"/>
              </w:rPr>
              <w:t>4.64 %</w:t>
            </w:r>
          </w:p>
        </w:tc>
      </w:tr>
      <w:tr w:rsidR="281DC5F8" w:rsidRPr="001904F7" w14:paraId="1C4A8016" w14:textId="77777777" w:rsidTr="007B2BD4">
        <w:tc>
          <w:tcPr>
            <w:tcW w:w="3686" w:type="dxa"/>
            <w:tcBorders>
              <w:top w:val="single" w:sz="2" w:space="0" w:color="0070C0"/>
              <w:left w:val="nil"/>
              <w:bottom w:val="single" w:sz="2" w:space="0" w:color="0070C0"/>
              <w:right w:val="single" w:sz="2" w:space="0" w:color="0070C0"/>
            </w:tcBorders>
          </w:tcPr>
          <w:p w14:paraId="67C8EA31" w14:textId="764EE62B" w:rsidR="281DC5F8" w:rsidRPr="001904F7" w:rsidRDefault="54D28F68">
            <w:pPr>
              <w:rPr>
                <w:sz w:val="20"/>
                <w:szCs w:val="20"/>
              </w:rPr>
            </w:pPr>
            <w:r w:rsidRPr="001904F7">
              <w:rPr>
                <w:rFonts w:ascii="Calibri" w:eastAsia="Calibri" w:hAnsi="Calibri" w:cs="Calibri"/>
                <w:sz w:val="20"/>
                <w:szCs w:val="20"/>
              </w:rPr>
              <w:t xml:space="preserve">Scenario – 3:    </w:t>
            </w:r>
            <w:r w:rsidR="00586EFF" w:rsidRPr="001904F7">
              <w:rPr>
                <w:rFonts w:ascii="Calibri" w:eastAsia="Calibri" w:hAnsi="Calibri" w:cs="Calibri"/>
                <w:sz w:val="20"/>
                <w:szCs w:val="20"/>
              </w:rPr>
              <w:t>≥</w:t>
            </w:r>
            <w:r w:rsidRPr="001904F7">
              <w:rPr>
                <w:rFonts w:ascii="Calibri" w:eastAsia="Calibri" w:hAnsi="Calibri" w:cs="Calibri"/>
                <w:sz w:val="20"/>
                <w:szCs w:val="20"/>
              </w:rPr>
              <w:t>1%</w:t>
            </w:r>
          </w:p>
        </w:tc>
        <w:tc>
          <w:tcPr>
            <w:tcW w:w="1984" w:type="dxa"/>
            <w:tcBorders>
              <w:top w:val="single" w:sz="2" w:space="0" w:color="0070C0"/>
              <w:left w:val="single" w:sz="2" w:space="0" w:color="0070C0"/>
              <w:bottom w:val="single" w:sz="2" w:space="0" w:color="0070C0"/>
              <w:right w:val="single" w:sz="2" w:space="0" w:color="0070C0"/>
            </w:tcBorders>
            <w:vAlign w:val="bottom"/>
          </w:tcPr>
          <w:p w14:paraId="212C307A" w14:textId="3BD8DF56" w:rsidR="281DC5F8" w:rsidRPr="001904F7" w:rsidRDefault="281DC5F8" w:rsidP="281DC5F8">
            <w:pPr>
              <w:jc w:val="right"/>
              <w:rPr>
                <w:sz w:val="20"/>
                <w:szCs w:val="20"/>
              </w:rPr>
            </w:pPr>
            <w:r w:rsidRPr="001904F7">
              <w:rPr>
                <w:rFonts w:ascii="Calibri" w:eastAsia="Calibri" w:hAnsi="Calibri" w:cs="Calibri"/>
                <w:color w:val="000000" w:themeColor="text1"/>
                <w:sz w:val="20"/>
                <w:szCs w:val="20"/>
              </w:rPr>
              <w:t>116,183</w:t>
            </w:r>
          </w:p>
        </w:tc>
        <w:tc>
          <w:tcPr>
            <w:tcW w:w="2977" w:type="dxa"/>
            <w:tcBorders>
              <w:top w:val="single" w:sz="2" w:space="0" w:color="0070C0"/>
              <w:left w:val="single" w:sz="2" w:space="0" w:color="0070C0"/>
              <w:bottom w:val="single" w:sz="2" w:space="0" w:color="0070C0"/>
              <w:right w:val="nil"/>
            </w:tcBorders>
          </w:tcPr>
          <w:p w14:paraId="0A7EC1BE" w14:textId="58C4DBA2" w:rsidR="281DC5F8" w:rsidRPr="001904F7" w:rsidRDefault="281DC5F8" w:rsidP="281DC5F8">
            <w:pPr>
              <w:jc w:val="right"/>
              <w:rPr>
                <w:sz w:val="20"/>
                <w:szCs w:val="20"/>
              </w:rPr>
            </w:pPr>
            <w:r w:rsidRPr="001904F7">
              <w:rPr>
                <w:rFonts w:ascii="Calibri" w:eastAsia="Calibri" w:hAnsi="Calibri" w:cs="Calibri"/>
                <w:sz w:val="20"/>
                <w:szCs w:val="20"/>
              </w:rPr>
              <w:t>0.46 %</w:t>
            </w:r>
          </w:p>
        </w:tc>
      </w:tr>
    </w:tbl>
    <w:p w14:paraId="1F430F58" w14:textId="76CF85ED" w:rsidR="5590ED66" w:rsidRPr="006C4CE2" w:rsidRDefault="281DC5F8" w:rsidP="5590ED66">
      <w:pPr>
        <w:spacing w:line="257" w:lineRule="auto"/>
      </w:pPr>
      <w:r w:rsidRPr="006C4CE2">
        <w:rPr>
          <w:rFonts w:ascii="Calibri" w:eastAsia="Calibri" w:hAnsi="Calibri" w:cs="Calibri"/>
        </w:rPr>
        <w:t xml:space="preserve"> </w:t>
      </w:r>
    </w:p>
    <w:p w14:paraId="0D09142A" w14:textId="61D4221B" w:rsidR="008A5150" w:rsidRPr="0092337F" w:rsidRDefault="00053624" w:rsidP="008A5150">
      <w:pPr>
        <w:spacing w:line="257" w:lineRule="auto"/>
        <w:rPr>
          <w:rFonts w:eastAsia="Calibri" w:cstheme="minorHAnsi"/>
        </w:rPr>
      </w:pPr>
      <w:r w:rsidRPr="0092337F">
        <w:rPr>
          <w:rFonts w:eastAsia="Calibri" w:cstheme="minorHAnsi"/>
        </w:rPr>
        <w:t>This simple comparative analysis</w:t>
      </w:r>
      <w:r w:rsidR="07D91B0E" w:rsidRPr="0092337F">
        <w:rPr>
          <w:rFonts w:eastAsia="Calibri" w:cstheme="minorHAnsi"/>
        </w:rPr>
        <w:t xml:space="preserve"> </w:t>
      </w:r>
      <w:r w:rsidR="008A5150" w:rsidRPr="0092337F">
        <w:rPr>
          <w:rFonts w:eastAsia="Calibri" w:cstheme="minorHAnsi"/>
        </w:rPr>
        <w:t xml:space="preserve">illustrates that either the level of </w:t>
      </w:r>
      <w:r w:rsidR="00BB50D1" w:rsidRPr="0092337F">
        <w:rPr>
          <w:rFonts w:eastAsia="Calibri" w:cstheme="minorHAnsi"/>
        </w:rPr>
        <w:t xml:space="preserve">companies </w:t>
      </w:r>
      <w:r w:rsidR="008A5150" w:rsidRPr="0092337F">
        <w:rPr>
          <w:rFonts w:eastAsia="Calibri" w:cstheme="minorHAnsi"/>
        </w:rPr>
        <w:t>compliance</w:t>
      </w:r>
      <w:r w:rsidR="00BB50D1" w:rsidRPr="0092337F">
        <w:rPr>
          <w:rFonts w:eastAsia="Calibri" w:cstheme="minorHAnsi"/>
        </w:rPr>
        <w:t xml:space="preserve"> with the Law 13,123</w:t>
      </w:r>
      <w:r w:rsidR="00653432" w:rsidRPr="0092337F">
        <w:rPr>
          <w:rFonts w:eastAsia="Calibri" w:cstheme="minorHAnsi"/>
        </w:rPr>
        <w:t>/2015</w:t>
      </w:r>
      <w:r w:rsidR="00BB50D1" w:rsidRPr="0092337F">
        <w:rPr>
          <w:rFonts w:eastAsia="Calibri" w:cstheme="minorHAnsi"/>
        </w:rPr>
        <w:t xml:space="preserve"> </w:t>
      </w:r>
      <w:r w:rsidR="00376B07" w:rsidRPr="0092337F">
        <w:rPr>
          <w:rFonts w:eastAsia="Calibri" w:cstheme="minorHAnsi"/>
        </w:rPr>
        <w:t xml:space="preserve">is very </w:t>
      </w:r>
      <w:r w:rsidR="00122355" w:rsidRPr="0092337F">
        <w:rPr>
          <w:rFonts w:eastAsia="Calibri" w:cstheme="minorHAnsi"/>
        </w:rPr>
        <w:t xml:space="preserve">low, </w:t>
      </w:r>
      <w:r w:rsidR="00BB50D1" w:rsidRPr="0092337F">
        <w:rPr>
          <w:rFonts w:eastAsia="Calibri" w:cstheme="minorHAnsi"/>
        </w:rPr>
        <w:t xml:space="preserve">or </w:t>
      </w:r>
      <w:r w:rsidR="00EF7FFD" w:rsidRPr="0092337F">
        <w:rPr>
          <w:rFonts w:eastAsia="Calibri" w:cstheme="minorHAnsi"/>
        </w:rPr>
        <w:t xml:space="preserve">the current </w:t>
      </w:r>
      <w:r w:rsidR="00653432" w:rsidRPr="0092337F">
        <w:rPr>
          <w:rFonts w:eastAsia="Calibri" w:cstheme="minorHAnsi"/>
        </w:rPr>
        <w:t>volume</w:t>
      </w:r>
      <w:r w:rsidR="00EF7FFD" w:rsidRPr="0092337F">
        <w:rPr>
          <w:rFonts w:eastAsia="Calibri" w:cstheme="minorHAnsi"/>
        </w:rPr>
        <w:t xml:space="preserve"> of research and development of new products based on Brazilian biodiversity </w:t>
      </w:r>
      <w:r w:rsidR="008A5150" w:rsidRPr="0092337F">
        <w:rPr>
          <w:rFonts w:eastAsia="Calibri" w:cstheme="minorHAnsi"/>
        </w:rPr>
        <w:t xml:space="preserve">is very </w:t>
      </w:r>
      <w:r w:rsidR="00697F34" w:rsidRPr="0092337F">
        <w:rPr>
          <w:rFonts w:eastAsia="Calibri" w:cstheme="minorHAnsi"/>
        </w:rPr>
        <w:t>low,</w:t>
      </w:r>
      <w:r w:rsidR="008A5150" w:rsidRPr="0092337F">
        <w:rPr>
          <w:rFonts w:eastAsia="Calibri" w:cstheme="minorHAnsi"/>
        </w:rPr>
        <w:t xml:space="preserve"> </w:t>
      </w:r>
      <w:r w:rsidR="00EF7FFD" w:rsidRPr="0092337F">
        <w:rPr>
          <w:rFonts w:eastAsia="Calibri" w:cstheme="minorHAnsi"/>
        </w:rPr>
        <w:t>or</w:t>
      </w:r>
      <w:r w:rsidR="008A5150" w:rsidRPr="0092337F">
        <w:rPr>
          <w:rFonts w:eastAsia="Calibri" w:cstheme="minorHAnsi"/>
        </w:rPr>
        <w:t xml:space="preserve"> both are </w:t>
      </w:r>
      <w:r w:rsidR="00122355" w:rsidRPr="0092337F">
        <w:rPr>
          <w:rFonts w:eastAsia="Calibri" w:cstheme="minorHAnsi"/>
        </w:rPr>
        <w:t>substantially</w:t>
      </w:r>
      <w:r w:rsidR="00552811" w:rsidRPr="0092337F">
        <w:rPr>
          <w:rFonts w:eastAsia="Calibri" w:cstheme="minorHAnsi"/>
        </w:rPr>
        <w:t xml:space="preserve"> </w:t>
      </w:r>
      <w:r w:rsidR="008A5150" w:rsidRPr="0092337F">
        <w:rPr>
          <w:rFonts w:eastAsia="Calibri" w:cstheme="minorHAnsi"/>
        </w:rPr>
        <w:t>low</w:t>
      </w:r>
      <w:r w:rsidR="00E93F05" w:rsidRPr="0092337F">
        <w:rPr>
          <w:rFonts w:eastAsia="Calibri" w:cstheme="minorHAnsi"/>
        </w:rPr>
        <w:t>.</w:t>
      </w:r>
    </w:p>
    <w:p w14:paraId="72A1DF1C" w14:textId="56C69273" w:rsidR="00D41538" w:rsidRPr="00CC26C1" w:rsidRDefault="00D41538" w:rsidP="00D41538">
      <w:pPr>
        <w:pStyle w:val="Heading3"/>
        <w:rPr>
          <w:color w:val="0070C0"/>
        </w:rPr>
      </w:pPr>
      <w:r>
        <w:rPr>
          <w:color w:val="0070C0"/>
        </w:rPr>
        <w:t xml:space="preserve">    </w:t>
      </w:r>
      <w:r w:rsidRPr="00CC26C1">
        <w:rPr>
          <w:color w:val="0070C0"/>
        </w:rPr>
        <w:t>4.</w:t>
      </w:r>
      <w:r>
        <w:rPr>
          <w:color w:val="0070C0"/>
        </w:rPr>
        <w:t>3</w:t>
      </w:r>
      <w:r w:rsidRPr="00CC26C1">
        <w:rPr>
          <w:color w:val="0070C0"/>
        </w:rPr>
        <w:t>.</w:t>
      </w:r>
      <w:r>
        <w:rPr>
          <w:color w:val="0070C0"/>
        </w:rPr>
        <w:t>2</w:t>
      </w:r>
      <w:r w:rsidRPr="00CC26C1">
        <w:rPr>
          <w:color w:val="0070C0"/>
        </w:rPr>
        <w:t xml:space="preserve"> Fines from </w:t>
      </w:r>
      <w:r>
        <w:rPr>
          <w:color w:val="0070C0"/>
        </w:rPr>
        <w:t>e</w:t>
      </w:r>
      <w:r w:rsidRPr="00CC26C1">
        <w:rPr>
          <w:color w:val="0070C0"/>
        </w:rPr>
        <w:t xml:space="preserve">nforcement </w:t>
      </w:r>
      <w:r>
        <w:rPr>
          <w:color w:val="0070C0"/>
        </w:rPr>
        <w:t>o</w:t>
      </w:r>
      <w:r w:rsidRPr="00CC26C1">
        <w:rPr>
          <w:color w:val="0070C0"/>
        </w:rPr>
        <w:t>perations carried out during the PM 2</w:t>
      </w:r>
      <w:r>
        <w:rPr>
          <w:color w:val="0070C0"/>
        </w:rPr>
        <w:t>,</w:t>
      </w:r>
      <w:r w:rsidRPr="00CC26C1">
        <w:rPr>
          <w:color w:val="0070C0"/>
        </w:rPr>
        <w:t>816/2001</w:t>
      </w:r>
    </w:p>
    <w:p w14:paraId="46F934D9" w14:textId="77777777" w:rsidR="00D41538" w:rsidRPr="0092337F" w:rsidRDefault="00D41538" w:rsidP="00D41538">
      <w:pPr>
        <w:rPr>
          <w:rFonts w:cstheme="minorHAnsi"/>
        </w:rPr>
      </w:pPr>
      <w:r w:rsidRPr="0092337F">
        <w:rPr>
          <w:rFonts w:eastAsia="Calibri" w:cstheme="minorHAnsi"/>
        </w:rPr>
        <w:t>As provided for in Decree 5.459/2005 related to PM 2,186/2001</w:t>
      </w:r>
      <w:r w:rsidRPr="0092337F">
        <w:rPr>
          <w:rStyle w:val="EndnoteReference"/>
          <w:rFonts w:eastAsia="Calibri" w:cstheme="minorHAnsi"/>
        </w:rPr>
        <w:endnoteReference w:id="20"/>
      </w:r>
      <w:r w:rsidRPr="0092337F">
        <w:rPr>
          <w:rFonts w:eastAsia="Calibri" w:cstheme="minorHAnsi"/>
        </w:rPr>
        <w:t>, the failure of users to comply with their obligations incurred different types of penalties, including fines, confiscation of samples and products, suspension of product sales, closure of establishments, suspension or cancellation of registrations, patents, licenses or authorizations, prohibition of contracting with the public administration and restriction of tax incentives.</w:t>
      </w:r>
    </w:p>
    <w:p w14:paraId="616D5673" w14:textId="77777777" w:rsidR="00D41538" w:rsidRPr="0092337F" w:rsidRDefault="00D41538" w:rsidP="00D41538">
      <w:pPr>
        <w:rPr>
          <w:rFonts w:eastAsia="Calibri" w:cstheme="minorHAnsi"/>
        </w:rPr>
      </w:pPr>
      <w:r w:rsidRPr="0092337F">
        <w:rPr>
          <w:rFonts w:eastAsia="Calibri" w:cstheme="minorHAnsi"/>
        </w:rPr>
        <w:t xml:space="preserve">While the Provisional Measure was in effect, IBAMA exercised its environmental police enforcement powers for compliance with the ABS legislation. Between 2010 and 2013, IBAMA deployed “Operation </w:t>
      </w:r>
      <w:proofErr w:type="spellStart"/>
      <w:r w:rsidRPr="0092337F">
        <w:rPr>
          <w:rFonts w:eastAsia="Calibri" w:cstheme="minorHAnsi"/>
        </w:rPr>
        <w:t>Novos</w:t>
      </w:r>
      <w:proofErr w:type="spellEnd"/>
      <w:r w:rsidRPr="0092337F">
        <w:rPr>
          <w:rFonts w:eastAsia="Calibri" w:cstheme="minorHAnsi"/>
        </w:rPr>
        <w:t xml:space="preserve"> </w:t>
      </w:r>
      <w:proofErr w:type="spellStart"/>
      <w:r w:rsidRPr="0092337F">
        <w:rPr>
          <w:rFonts w:eastAsia="Calibri" w:cstheme="minorHAnsi"/>
        </w:rPr>
        <w:t>Rumos</w:t>
      </w:r>
      <w:proofErr w:type="spellEnd"/>
      <w:r w:rsidRPr="0092337F">
        <w:rPr>
          <w:rFonts w:eastAsia="Calibri" w:cstheme="minorHAnsi"/>
        </w:rPr>
        <w:t xml:space="preserve"> I and II” with the objective of enforcing the compliance of the GH and ATK users through inspection</w:t>
      </w:r>
      <w:r w:rsidRPr="0092337F">
        <w:rPr>
          <w:rStyle w:val="EndnoteReference"/>
          <w:rFonts w:eastAsia="Calibri" w:cstheme="minorHAnsi"/>
        </w:rPr>
        <w:endnoteReference w:id="21"/>
      </w:r>
      <w:r w:rsidRPr="0092337F">
        <w:rPr>
          <w:rFonts w:eastAsia="Calibri" w:cstheme="minorHAnsi"/>
        </w:rPr>
        <w:t xml:space="preserve">. The results were: 134 infraction notices in Operation I and </w:t>
      </w:r>
      <w:r w:rsidRPr="0092337F">
        <w:rPr>
          <w:rFonts w:eastAsia="Calibri" w:cstheme="minorHAnsi"/>
        </w:rPr>
        <w:lastRenderedPageBreak/>
        <w:t>321 in Operation II, with fines totaling R$ 107,014,100.00 and R$ 103,967,850.00, respectively. Thus, the number of infraction notices under PM 2,186/2001 amounted to 455, with total fines of R$ 210,981,950.00. Table V shows the nominal values and the values adjusted by IPCA-E (recalculated for August 2022).</w:t>
      </w:r>
    </w:p>
    <w:p w14:paraId="3A9A7004" w14:textId="77777777" w:rsidR="00D41538" w:rsidRPr="006C4CE2" w:rsidRDefault="00D41538" w:rsidP="00D41538">
      <w:pPr>
        <w:rPr>
          <w:rFonts w:ascii="Calibri" w:eastAsia="Calibri" w:hAnsi="Calibri" w:cs="Calibri"/>
          <w:i/>
          <w:iCs/>
        </w:rPr>
      </w:pPr>
      <w:r w:rsidRPr="54D28F68">
        <w:rPr>
          <w:rFonts w:ascii="Calibri" w:eastAsia="Calibri" w:hAnsi="Calibri" w:cs="Calibri"/>
          <w:b/>
          <w:bCs/>
          <w:i/>
          <w:iCs/>
        </w:rPr>
        <w:t xml:space="preserve">Table </w:t>
      </w:r>
      <w:r>
        <w:rPr>
          <w:rFonts w:ascii="Calibri" w:eastAsia="Calibri" w:hAnsi="Calibri" w:cs="Calibri"/>
          <w:b/>
          <w:bCs/>
          <w:i/>
          <w:iCs/>
        </w:rPr>
        <w:t>V</w:t>
      </w:r>
      <w:r w:rsidRPr="54D28F68">
        <w:rPr>
          <w:rFonts w:ascii="Calibri" w:eastAsia="Calibri" w:hAnsi="Calibri" w:cs="Calibri"/>
          <w:b/>
          <w:bCs/>
          <w:i/>
          <w:iCs/>
        </w:rPr>
        <w:t>.</w:t>
      </w:r>
      <w:r w:rsidRPr="54D28F68">
        <w:rPr>
          <w:rFonts w:ascii="Calibri" w:eastAsia="Calibri" w:hAnsi="Calibri" w:cs="Calibri"/>
          <w:i/>
          <w:iCs/>
        </w:rPr>
        <w:t xml:space="preserve"> The values of fines applied during IBAMA Enforcement Operations “</w:t>
      </w:r>
      <w:proofErr w:type="spellStart"/>
      <w:r w:rsidRPr="54D28F68">
        <w:rPr>
          <w:rFonts w:ascii="Calibri" w:eastAsia="Calibri" w:hAnsi="Calibri" w:cs="Calibri"/>
          <w:i/>
          <w:iCs/>
        </w:rPr>
        <w:t>Novos</w:t>
      </w:r>
      <w:proofErr w:type="spellEnd"/>
      <w:r w:rsidRPr="54D28F68">
        <w:rPr>
          <w:rFonts w:ascii="Calibri" w:eastAsia="Calibri" w:hAnsi="Calibri" w:cs="Calibri"/>
          <w:i/>
          <w:iCs/>
        </w:rPr>
        <w:t xml:space="preserve"> </w:t>
      </w:r>
      <w:proofErr w:type="spellStart"/>
      <w:r w:rsidRPr="54D28F68">
        <w:rPr>
          <w:rFonts w:ascii="Calibri" w:eastAsia="Calibri" w:hAnsi="Calibri" w:cs="Calibri"/>
          <w:i/>
          <w:iCs/>
        </w:rPr>
        <w:t>Rumos</w:t>
      </w:r>
      <w:proofErr w:type="spellEnd"/>
      <w:r w:rsidRPr="54D28F68">
        <w:rPr>
          <w:rFonts w:ascii="Calibri" w:eastAsia="Calibri" w:hAnsi="Calibri" w:cs="Calibri"/>
          <w:i/>
          <w:iCs/>
        </w:rPr>
        <w:t xml:space="preserve"> I and II” </w:t>
      </w:r>
      <w:r>
        <w:rPr>
          <w:rFonts w:ascii="Calibri" w:eastAsia="Calibri" w:hAnsi="Calibri" w:cs="Calibri"/>
          <w:i/>
          <w:iCs/>
        </w:rPr>
        <w:t>under</w:t>
      </w:r>
      <w:r w:rsidRPr="54D28F68">
        <w:rPr>
          <w:rFonts w:ascii="Calibri" w:eastAsia="Calibri" w:hAnsi="Calibri" w:cs="Calibri"/>
          <w:i/>
          <w:iCs/>
        </w:rPr>
        <w:t xml:space="preserve"> PM 2,186/2001 between 2010</w:t>
      </w:r>
      <w:r>
        <w:rPr>
          <w:rFonts w:ascii="Calibri" w:eastAsia="Calibri" w:hAnsi="Calibri" w:cs="Calibri"/>
          <w:i/>
          <w:iCs/>
        </w:rPr>
        <w:t xml:space="preserve"> and </w:t>
      </w:r>
      <w:r w:rsidRPr="54D28F68">
        <w:rPr>
          <w:rFonts w:ascii="Calibri" w:eastAsia="Calibri" w:hAnsi="Calibri" w:cs="Calibri"/>
          <w:i/>
          <w:iCs/>
        </w:rPr>
        <w:t xml:space="preserve">2013. Nominal values and updated values after monetary adjustment by the IPCA-E for August 2022 </w:t>
      </w:r>
      <w:r>
        <w:rPr>
          <w:rFonts w:ascii="Calibri" w:eastAsia="Calibri" w:hAnsi="Calibri" w:cs="Calibri"/>
          <w:i/>
          <w:iCs/>
        </w:rPr>
        <w:t>are provided</w:t>
      </w:r>
      <w:r w:rsidRPr="54D28F68">
        <w:rPr>
          <w:rFonts w:ascii="Calibri" w:eastAsia="Calibri" w:hAnsi="Calibri" w:cs="Calibri"/>
          <w:i/>
          <w:iCs/>
        </w:rPr>
        <w:t xml:space="preserve">. </w:t>
      </w:r>
    </w:p>
    <w:tbl>
      <w:tblPr>
        <w:tblStyle w:val="TableGrid"/>
        <w:tblW w:w="0" w:type="auto"/>
        <w:tblLayout w:type="fixed"/>
        <w:tblLook w:val="0660" w:firstRow="1" w:lastRow="1" w:firstColumn="0" w:lastColumn="0" w:noHBand="1" w:noVBand="1"/>
      </w:tblPr>
      <w:tblGrid>
        <w:gridCol w:w="3242"/>
        <w:gridCol w:w="2358"/>
        <w:gridCol w:w="2650"/>
      </w:tblGrid>
      <w:tr w:rsidR="00D41538" w:rsidRPr="0028377D" w14:paraId="59A40D4A" w14:textId="77777777" w:rsidTr="007B2BD4">
        <w:tc>
          <w:tcPr>
            <w:tcW w:w="3242"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3D42CCEF" w14:textId="77777777" w:rsidR="001904F7" w:rsidRDefault="00D41538" w:rsidP="003833A6">
            <w:pPr>
              <w:jc w:val="center"/>
              <w:rPr>
                <w:rFonts w:ascii="Calibri" w:eastAsia="Calibri" w:hAnsi="Calibri" w:cs="Calibri"/>
                <w:b/>
                <w:bCs/>
                <w:color w:val="FFFFFF" w:themeColor="background1"/>
                <w:sz w:val="20"/>
                <w:szCs w:val="20"/>
              </w:rPr>
            </w:pPr>
            <w:r w:rsidRPr="006465B3">
              <w:rPr>
                <w:rFonts w:ascii="Calibri" w:eastAsia="Calibri" w:hAnsi="Calibri" w:cs="Calibri"/>
                <w:b/>
                <w:bCs/>
                <w:color w:val="FFFFFF" w:themeColor="background1"/>
                <w:sz w:val="20"/>
                <w:szCs w:val="20"/>
              </w:rPr>
              <w:t xml:space="preserve">IBAMA </w:t>
            </w:r>
          </w:p>
          <w:p w14:paraId="51C8150E" w14:textId="2A41E6DF" w:rsidR="00D41538" w:rsidRPr="006465B3" w:rsidRDefault="00D41538" w:rsidP="003833A6">
            <w:pPr>
              <w:jc w:val="center"/>
              <w:rPr>
                <w:color w:val="FFFFFF" w:themeColor="background1"/>
                <w:sz w:val="20"/>
                <w:szCs w:val="20"/>
              </w:rPr>
            </w:pPr>
            <w:r w:rsidRPr="006465B3">
              <w:rPr>
                <w:rFonts w:ascii="Calibri" w:eastAsia="Calibri" w:hAnsi="Calibri" w:cs="Calibri"/>
                <w:b/>
                <w:bCs/>
                <w:color w:val="FFFFFF" w:themeColor="background1"/>
                <w:sz w:val="20"/>
                <w:szCs w:val="20"/>
              </w:rPr>
              <w:t>Operation</w:t>
            </w:r>
          </w:p>
        </w:tc>
        <w:tc>
          <w:tcPr>
            <w:tcW w:w="2358"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03DC9E7E" w14:textId="77777777" w:rsidR="00D41538" w:rsidRPr="006465B3" w:rsidRDefault="00D41538" w:rsidP="003833A6">
            <w:pPr>
              <w:jc w:val="center"/>
              <w:rPr>
                <w:color w:val="FFFFFF" w:themeColor="background1"/>
                <w:sz w:val="20"/>
                <w:szCs w:val="20"/>
              </w:rPr>
            </w:pPr>
            <w:r w:rsidRPr="006465B3">
              <w:rPr>
                <w:rFonts w:ascii="Calibri" w:eastAsia="Calibri" w:hAnsi="Calibri" w:cs="Calibri"/>
                <w:b/>
                <w:bCs/>
                <w:color w:val="FFFFFF" w:themeColor="background1"/>
                <w:sz w:val="20"/>
                <w:szCs w:val="20"/>
              </w:rPr>
              <w:t xml:space="preserve">Nominal </w:t>
            </w:r>
          </w:p>
          <w:p w14:paraId="41B90A89" w14:textId="77777777" w:rsidR="00D41538" w:rsidRPr="006465B3" w:rsidRDefault="00D41538" w:rsidP="003833A6">
            <w:pPr>
              <w:jc w:val="center"/>
              <w:rPr>
                <w:color w:val="FFFFFF" w:themeColor="background1"/>
                <w:sz w:val="20"/>
                <w:szCs w:val="20"/>
              </w:rPr>
            </w:pPr>
            <w:r w:rsidRPr="006465B3">
              <w:rPr>
                <w:rFonts w:ascii="Calibri" w:eastAsia="Calibri" w:hAnsi="Calibri" w:cs="Calibri"/>
                <w:b/>
                <w:bCs/>
                <w:color w:val="FFFFFF" w:themeColor="background1"/>
                <w:sz w:val="20"/>
                <w:szCs w:val="20"/>
              </w:rPr>
              <w:t>Value</w:t>
            </w:r>
          </w:p>
        </w:tc>
        <w:tc>
          <w:tcPr>
            <w:tcW w:w="265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0070C0"/>
          </w:tcPr>
          <w:p w14:paraId="72D5FD89" w14:textId="77777777" w:rsidR="00D41538" w:rsidRPr="006465B3" w:rsidRDefault="00D41538" w:rsidP="003833A6">
            <w:pPr>
              <w:jc w:val="right"/>
              <w:rPr>
                <w:color w:val="FFFFFF" w:themeColor="background1"/>
                <w:sz w:val="20"/>
                <w:szCs w:val="20"/>
              </w:rPr>
            </w:pPr>
            <w:r w:rsidRPr="006465B3">
              <w:rPr>
                <w:rFonts w:ascii="Calibri" w:eastAsia="Calibri" w:hAnsi="Calibri" w:cs="Calibri"/>
                <w:b/>
                <w:bCs/>
                <w:color w:val="FFFFFF" w:themeColor="background1"/>
                <w:sz w:val="20"/>
                <w:szCs w:val="20"/>
              </w:rPr>
              <w:t>Adjusted Value by</w:t>
            </w:r>
          </w:p>
          <w:p w14:paraId="166C73D2" w14:textId="77777777" w:rsidR="00D41538" w:rsidRPr="006465B3" w:rsidRDefault="00D41538" w:rsidP="003833A6">
            <w:pPr>
              <w:jc w:val="right"/>
              <w:rPr>
                <w:color w:val="FFFFFF" w:themeColor="background1"/>
                <w:sz w:val="20"/>
                <w:szCs w:val="20"/>
              </w:rPr>
            </w:pPr>
            <w:r w:rsidRPr="006465B3">
              <w:rPr>
                <w:rFonts w:ascii="Calibri" w:eastAsia="Calibri" w:hAnsi="Calibri" w:cs="Calibri"/>
                <w:b/>
                <w:bCs/>
                <w:color w:val="FFFFFF" w:themeColor="background1"/>
                <w:sz w:val="20"/>
                <w:szCs w:val="20"/>
              </w:rPr>
              <w:t>IPCA-E index (Aug/2022)</w:t>
            </w:r>
          </w:p>
        </w:tc>
      </w:tr>
      <w:tr w:rsidR="00D41538" w:rsidRPr="0028377D" w14:paraId="230C2958" w14:textId="77777777" w:rsidTr="007B2BD4">
        <w:tc>
          <w:tcPr>
            <w:tcW w:w="3242" w:type="dxa"/>
            <w:tcBorders>
              <w:top w:val="single" w:sz="18" w:space="0" w:color="FFFFFF" w:themeColor="background1"/>
              <w:left w:val="nil"/>
              <w:bottom w:val="single" w:sz="2" w:space="0" w:color="0070C0"/>
              <w:right w:val="single" w:sz="2" w:space="0" w:color="0070C0"/>
            </w:tcBorders>
          </w:tcPr>
          <w:p w14:paraId="059EAD19" w14:textId="77777777" w:rsidR="00D41538" w:rsidRPr="006465B3" w:rsidRDefault="00D41538" w:rsidP="003833A6">
            <w:pPr>
              <w:rPr>
                <w:sz w:val="20"/>
                <w:szCs w:val="20"/>
                <w:lang w:val="pt-BR"/>
              </w:rPr>
            </w:pPr>
            <w:r w:rsidRPr="006465B3">
              <w:rPr>
                <w:rFonts w:ascii="Calibri" w:eastAsia="Calibri" w:hAnsi="Calibri" w:cs="Calibri"/>
                <w:sz w:val="20"/>
                <w:szCs w:val="20"/>
                <w:lang w:val="pt-BR"/>
              </w:rPr>
              <w:t xml:space="preserve">Fines </w:t>
            </w:r>
            <w:proofErr w:type="spellStart"/>
            <w:r w:rsidRPr="006465B3">
              <w:rPr>
                <w:rFonts w:ascii="Calibri" w:eastAsia="Calibri" w:hAnsi="Calibri" w:cs="Calibri"/>
                <w:sz w:val="20"/>
                <w:szCs w:val="20"/>
                <w:lang w:val="pt-BR"/>
              </w:rPr>
              <w:t>from</w:t>
            </w:r>
            <w:proofErr w:type="spellEnd"/>
          </w:p>
          <w:p w14:paraId="33634A0F" w14:textId="77777777" w:rsidR="00D41538" w:rsidRPr="006465B3" w:rsidRDefault="00D41538" w:rsidP="003833A6">
            <w:pPr>
              <w:rPr>
                <w:sz w:val="20"/>
                <w:szCs w:val="20"/>
                <w:lang w:val="pt-BR"/>
              </w:rPr>
            </w:pPr>
            <w:r w:rsidRPr="006465B3">
              <w:rPr>
                <w:rFonts w:ascii="Calibri" w:eastAsia="Calibri" w:hAnsi="Calibri" w:cs="Calibri"/>
                <w:sz w:val="20"/>
                <w:szCs w:val="20"/>
                <w:lang w:val="pt-BR"/>
              </w:rPr>
              <w:t>“Novos Rumos I” (2010)</w:t>
            </w:r>
          </w:p>
        </w:tc>
        <w:tc>
          <w:tcPr>
            <w:tcW w:w="2358" w:type="dxa"/>
            <w:tcBorders>
              <w:top w:val="single" w:sz="18" w:space="0" w:color="FFFFFF" w:themeColor="background1"/>
              <w:left w:val="single" w:sz="2" w:space="0" w:color="0070C0"/>
              <w:bottom w:val="single" w:sz="2" w:space="0" w:color="0070C0"/>
              <w:right w:val="single" w:sz="2" w:space="0" w:color="0070C0"/>
            </w:tcBorders>
            <w:vAlign w:val="bottom"/>
          </w:tcPr>
          <w:p w14:paraId="031D0136" w14:textId="77777777" w:rsidR="00D41538" w:rsidRPr="006465B3" w:rsidRDefault="00D41538" w:rsidP="003833A6">
            <w:pPr>
              <w:spacing w:line="276" w:lineRule="auto"/>
              <w:jc w:val="right"/>
              <w:rPr>
                <w:sz w:val="20"/>
                <w:szCs w:val="20"/>
              </w:rPr>
            </w:pPr>
            <w:r w:rsidRPr="006465B3">
              <w:rPr>
                <w:rFonts w:ascii="Calibri" w:eastAsia="Calibri" w:hAnsi="Calibri" w:cs="Calibri"/>
                <w:color w:val="000000" w:themeColor="text1"/>
                <w:sz w:val="20"/>
                <w:szCs w:val="20"/>
              </w:rPr>
              <w:t>R$ 107</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014</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100</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 xml:space="preserve">00 </w:t>
            </w:r>
          </w:p>
        </w:tc>
        <w:tc>
          <w:tcPr>
            <w:tcW w:w="2650" w:type="dxa"/>
            <w:tcBorders>
              <w:top w:val="single" w:sz="18" w:space="0" w:color="FFFFFF" w:themeColor="background1"/>
              <w:left w:val="single" w:sz="2" w:space="0" w:color="0070C0"/>
              <w:bottom w:val="single" w:sz="2" w:space="0" w:color="0070C0"/>
              <w:right w:val="nil"/>
            </w:tcBorders>
            <w:vAlign w:val="bottom"/>
          </w:tcPr>
          <w:p w14:paraId="0AC42D57" w14:textId="77777777" w:rsidR="00D41538" w:rsidRPr="006465B3" w:rsidRDefault="00D41538" w:rsidP="003833A6">
            <w:pPr>
              <w:spacing w:line="276" w:lineRule="auto"/>
              <w:jc w:val="right"/>
              <w:rPr>
                <w:sz w:val="20"/>
                <w:szCs w:val="20"/>
              </w:rPr>
            </w:pPr>
            <w:r w:rsidRPr="006465B3">
              <w:rPr>
                <w:rFonts w:ascii="Calibri" w:eastAsia="Calibri" w:hAnsi="Calibri" w:cs="Calibri"/>
                <w:b/>
                <w:bCs/>
                <w:color w:val="000000" w:themeColor="text1"/>
                <w:sz w:val="20"/>
                <w:szCs w:val="20"/>
              </w:rPr>
              <w:t xml:space="preserve"> R$ 216</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837</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202</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 xml:space="preserve">41 </w:t>
            </w:r>
          </w:p>
        </w:tc>
      </w:tr>
      <w:tr w:rsidR="00D41538" w:rsidRPr="0028377D" w14:paraId="703CEBC5" w14:textId="77777777" w:rsidTr="007B2BD4">
        <w:tc>
          <w:tcPr>
            <w:tcW w:w="3242" w:type="dxa"/>
            <w:tcBorders>
              <w:top w:val="single" w:sz="2" w:space="0" w:color="0070C0"/>
              <w:left w:val="nil"/>
              <w:bottom w:val="nil"/>
              <w:right w:val="single" w:sz="2" w:space="0" w:color="0070C0"/>
            </w:tcBorders>
          </w:tcPr>
          <w:p w14:paraId="249ACB0F" w14:textId="77777777" w:rsidR="00D41538" w:rsidRPr="006465B3" w:rsidRDefault="00D41538" w:rsidP="003833A6">
            <w:pPr>
              <w:rPr>
                <w:rFonts w:ascii="Calibri" w:eastAsia="Calibri" w:hAnsi="Calibri" w:cs="Calibri"/>
                <w:sz w:val="20"/>
                <w:szCs w:val="20"/>
              </w:rPr>
            </w:pPr>
          </w:p>
          <w:p w14:paraId="616CCE95" w14:textId="77777777" w:rsidR="00D41538" w:rsidRPr="006465B3" w:rsidRDefault="00D41538" w:rsidP="003833A6">
            <w:pPr>
              <w:rPr>
                <w:sz w:val="20"/>
                <w:szCs w:val="20"/>
              </w:rPr>
            </w:pPr>
            <w:r w:rsidRPr="006465B3">
              <w:rPr>
                <w:rFonts w:ascii="Calibri" w:eastAsia="Calibri" w:hAnsi="Calibri" w:cs="Calibri"/>
                <w:sz w:val="20"/>
                <w:szCs w:val="20"/>
              </w:rPr>
              <w:t>Fines from</w:t>
            </w:r>
          </w:p>
          <w:p w14:paraId="263E214E" w14:textId="77777777" w:rsidR="00D41538" w:rsidRPr="006465B3" w:rsidRDefault="00D41538" w:rsidP="003833A6">
            <w:pPr>
              <w:rPr>
                <w:sz w:val="20"/>
                <w:szCs w:val="20"/>
              </w:rPr>
            </w:pPr>
            <w:r w:rsidRPr="006465B3">
              <w:rPr>
                <w:rFonts w:ascii="Calibri" w:eastAsia="Calibri" w:hAnsi="Calibri" w:cs="Calibri"/>
                <w:sz w:val="20"/>
                <w:szCs w:val="20"/>
              </w:rPr>
              <w:t>“</w:t>
            </w:r>
            <w:proofErr w:type="spellStart"/>
            <w:r w:rsidRPr="006465B3">
              <w:rPr>
                <w:rFonts w:ascii="Calibri" w:eastAsia="Calibri" w:hAnsi="Calibri" w:cs="Calibri"/>
                <w:sz w:val="20"/>
                <w:szCs w:val="20"/>
              </w:rPr>
              <w:t>Novos</w:t>
            </w:r>
            <w:proofErr w:type="spellEnd"/>
            <w:r w:rsidRPr="006465B3">
              <w:rPr>
                <w:rFonts w:ascii="Calibri" w:eastAsia="Calibri" w:hAnsi="Calibri" w:cs="Calibri"/>
                <w:sz w:val="20"/>
                <w:szCs w:val="20"/>
              </w:rPr>
              <w:t xml:space="preserve"> </w:t>
            </w:r>
            <w:proofErr w:type="spellStart"/>
            <w:r w:rsidRPr="006465B3">
              <w:rPr>
                <w:rFonts w:ascii="Calibri" w:eastAsia="Calibri" w:hAnsi="Calibri" w:cs="Calibri"/>
                <w:sz w:val="20"/>
                <w:szCs w:val="20"/>
              </w:rPr>
              <w:t>Rumos</w:t>
            </w:r>
            <w:proofErr w:type="spellEnd"/>
            <w:r w:rsidRPr="006465B3">
              <w:rPr>
                <w:rFonts w:ascii="Calibri" w:eastAsia="Calibri" w:hAnsi="Calibri" w:cs="Calibri"/>
                <w:sz w:val="20"/>
                <w:szCs w:val="20"/>
              </w:rPr>
              <w:t xml:space="preserve"> II” (2011-2013)</w:t>
            </w:r>
          </w:p>
        </w:tc>
        <w:tc>
          <w:tcPr>
            <w:tcW w:w="2358" w:type="dxa"/>
            <w:tcBorders>
              <w:top w:val="single" w:sz="2" w:space="0" w:color="0070C0"/>
              <w:left w:val="single" w:sz="2" w:space="0" w:color="0070C0"/>
              <w:bottom w:val="nil"/>
              <w:right w:val="single" w:sz="2" w:space="0" w:color="0070C0"/>
            </w:tcBorders>
            <w:vAlign w:val="bottom"/>
          </w:tcPr>
          <w:p w14:paraId="3890702C" w14:textId="77777777" w:rsidR="00D41538" w:rsidRPr="006465B3" w:rsidRDefault="00D41538" w:rsidP="003833A6">
            <w:pPr>
              <w:spacing w:line="276" w:lineRule="auto"/>
              <w:jc w:val="right"/>
              <w:rPr>
                <w:sz w:val="20"/>
                <w:szCs w:val="20"/>
              </w:rPr>
            </w:pPr>
            <w:r w:rsidRPr="006465B3">
              <w:rPr>
                <w:rFonts w:ascii="Calibri" w:eastAsia="Calibri" w:hAnsi="Calibri" w:cs="Calibri"/>
                <w:color w:val="000000" w:themeColor="text1"/>
                <w:sz w:val="20"/>
                <w:szCs w:val="20"/>
              </w:rPr>
              <w:t>R$ 103</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967</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850</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 xml:space="preserve">00 </w:t>
            </w:r>
          </w:p>
        </w:tc>
        <w:tc>
          <w:tcPr>
            <w:tcW w:w="2650" w:type="dxa"/>
            <w:tcBorders>
              <w:top w:val="single" w:sz="2" w:space="0" w:color="0070C0"/>
              <w:left w:val="single" w:sz="2" w:space="0" w:color="0070C0"/>
              <w:bottom w:val="nil"/>
              <w:right w:val="nil"/>
            </w:tcBorders>
            <w:vAlign w:val="bottom"/>
          </w:tcPr>
          <w:p w14:paraId="182C22BA" w14:textId="77777777" w:rsidR="00D41538" w:rsidRPr="006465B3" w:rsidRDefault="00D41538" w:rsidP="003833A6">
            <w:pPr>
              <w:spacing w:line="276" w:lineRule="auto"/>
              <w:jc w:val="right"/>
              <w:rPr>
                <w:sz w:val="20"/>
                <w:szCs w:val="20"/>
              </w:rPr>
            </w:pPr>
            <w:r w:rsidRPr="006465B3">
              <w:rPr>
                <w:rFonts w:ascii="Calibri" w:eastAsia="Calibri" w:hAnsi="Calibri" w:cs="Calibri"/>
                <w:b/>
                <w:bCs/>
                <w:color w:val="000000" w:themeColor="text1"/>
                <w:sz w:val="20"/>
                <w:szCs w:val="20"/>
              </w:rPr>
              <w:t>R$ 180</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122</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543</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 xml:space="preserve">07 </w:t>
            </w:r>
          </w:p>
        </w:tc>
      </w:tr>
      <w:tr w:rsidR="00D41538" w:rsidRPr="0028377D" w14:paraId="0A8CA5FD" w14:textId="77777777" w:rsidTr="007B2BD4">
        <w:tc>
          <w:tcPr>
            <w:tcW w:w="3242" w:type="dxa"/>
            <w:tcBorders>
              <w:top w:val="nil"/>
              <w:left w:val="nil"/>
              <w:bottom w:val="single" w:sz="4" w:space="0" w:color="auto"/>
              <w:right w:val="single" w:sz="2" w:space="0" w:color="0070C0"/>
            </w:tcBorders>
            <w:shd w:val="clear" w:color="auto" w:fill="D9E2F3" w:themeFill="accent1" w:themeFillTint="33"/>
          </w:tcPr>
          <w:p w14:paraId="6C2DD93A" w14:textId="77777777" w:rsidR="00D41538" w:rsidRPr="006465B3" w:rsidRDefault="00D41538" w:rsidP="003833A6">
            <w:pPr>
              <w:rPr>
                <w:sz w:val="20"/>
                <w:szCs w:val="20"/>
              </w:rPr>
            </w:pPr>
            <w:r w:rsidRPr="006465B3">
              <w:rPr>
                <w:rFonts w:ascii="Calibri" w:eastAsia="Calibri" w:hAnsi="Calibri" w:cs="Calibri"/>
                <w:color w:val="000000" w:themeColor="text1"/>
                <w:sz w:val="20"/>
                <w:szCs w:val="20"/>
              </w:rPr>
              <w:t xml:space="preserve">Total </w:t>
            </w:r>
          </w:p>
        </w:tc>
        <w:tc>
          <w:tcPr>
            <w:tcW w:w="2358" w:type="dxa"/>
            <w:tcBorders>
              <w:top w:val="nil"/>
              <w:left w:val="single" w:sz="2" w:space="0" w:color="0070C0"/>
              <w:bottom w:val="single" w:sz="4" w:space="0" w:color="auto"/>
              <w:right w:val="single" w:sz="2" w:space="0" w:color="0070C0"/>
            </w:tcBorders>
            <w:shd w:val="clear" w:color="auto" w:fill="D9E2F3" w:themeFill="accent1" w:themeFillTint="33"/>
            <w:vAlign w:val="bottom"/>
          </w:tcPr>
          <w:p w14:paraId="35F37F3B" w14:textId="77777777" w:rsidR="00D41538" w:rsidRPr="006465B3" w:rsidRDefault="00D41538" w:rsidP="003833A6">
            <w:pPr>
              <w:spacing w:line="276" w:lineRule="auto"/>
              <w:jc w:val="right"/>
              <w:rPr>
                <w:sz w:val="20"/>
                <w:szCs w:val="20"/>
              </w:rPr>
            </w:pPr>
            <w:r w:rsidRPr="006465B3">
              <w:rPr>
                <w:rFonts w:ascii="Calibri" w:eastAsia="Calibri" w:hAnsi="Calibri" w:cs="Calibri"/>
                <w:color w:val="000000" w:themeColor="text1"/>
                <w:sz w:val="20"/>
                <w:szCs w:val="20"/>
              </w:rPr>
              <w:t>R$ 210</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981</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950</w:t>
            </w:r>
            <w:r>
              <w:rPr>
                <w:rFonts w:ascii="Calibri" w:eastAsia="Calibri" w:hAnsi="Calibri" w:cs="Calibri"/>
                <w:color w:val="000000" w:themeColor="text1"/>
                <w:sz w:val="20"/>
                <w:szCs w:val="20"/>
              </w:rPr>
              <w:t>.</w:t>
            </w:r>
            <w:r w:rsidRPr="006465B3">
              <w:rPr>
                <w:rFonts w:ascii="Calibri" w:eastAsia="Calibri" w:hAnsi="Calibri" w:cs="Calibri"/>
                <w:color w:val="000000" w:themeColor="text1"/>
                <w:sz w:val="20"/>
                <w:szCs w:val="20"/>
              </w:rPr>
              <w:t xml:space="preserve">00 </w:t>
            </w:r>
          </w:p>
        </w:tc>
        <w:tc>
          <w:tcPr>
            <w:tcW w:w="2650" w:type="dxa"/>
            <w:tcBorders>
              <w:top w:val="nil"/>
              <w:left w:val="single" w:sz="2" w:space="0" w:color="0070C0"/>
              <w:bottom w:val="single" w:sz="4" w:space="0" w:color="auto"/>
              <w:right w:val="nil"/>
            </w:tcBorders>
            <w:shd w:val="clear" w:color="auto" w:fill="D9E2F3" w:themeFill="accent1" w:themeFillTint="33"/>
            <w:vAlign w:val="bottom"/>
          </w:tcPr>
          <w:p w14:paraId="5964C955" w14:textId="77777777" w:rsidR="00D41538" w:rsidRPr="006465B3" w:rsidRDefault="00D41538" w:rsidP="003833A6">
            <w:pPr>
              <w:spacing w:line="276" w:lineRule="auto"/>
              <w:jc w:val="right"/>
              <w:rPr>
                <w:sz w:val="20"/>
                <w:szCs w:val="20"/>
              </w:rPr>
            </w:pPr>
            <w:r w:rsidRPr="006465B3">
              <w:rPr>
                <w:rFonts w:ascii="Calibri" w:eastAsia="Calibri" w:hAnsi="Calibri" w:cs="Calibri"/>
                <w:b/>
                <w:bCs/>
                <w:color w:val="000000" w:themeColor="text1"/>
                <w:sz w:val="20"/>
                <w:szCs w:val="20"/>
              </w:rPr>
              <w:t xml:space="preserve"> R$ 396</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959</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745</w:t>
            </w:r>
            <w:r>
              <w:rPr>
                <w:rFonts w:ascii="Calibri" w:eastAsia="Calibri" w:hAnsi="Calibri" w:cs="Calibri"/>
                <w:b/>
                <w:bCs/>
                <w:color w:val="000000" w:themeColor="text1"/>
                <w:sz w:val="20"/>
                <w:szCs w:val="20"/>
              </w:rPr>
              <w:t>.</w:t>
            </w:r>
            <w:r w:rsidRPr="006465B3">
              <w:rPr>
                <w:rFonts w:ascii="Calibri" w:eastAsia="Calibri" w:hAnsi="Calibri" w:cs="Calibri"/>
                <w:b/>
                <w:bCs/>
                <w:color w:val="000000" w:themeColor="text1"/>
                <w:sz w:val="20"/>
                <w:szCs w:val="20"/>
              </w:rPr>
              <w:t xml:space="preserve">48 </w:t>
            </w:r>
          </w:p>
        </w:tc>
      </w:tr>
    </w:tbl>
    <w:p w14:paraId="50C881CC" w14:textId="77777777" w:rsidR="00D41538" w:rsidRDefault="00D41538" w:rsidP="00D41538">
      <w:pPr>
        <w:rPr>
          <w:rFonts w:ascii="Calibri" w:eastAsia="Calibri" w:hAnsi="Calibri" w:cs="Calibri"/>
        </w:rPr>
      </w:pPr>
    </w:p>
    <w:p w14:paraId="3728535D" w14:textId="77777777" w:rsidR="00D41538" w:rsidRPr="0092337F" w:rsidRDefault="00D41538" w:rsidP="00D41538">
      <w:pPr>
        <w:rPr>
          <w:rFonts w:eastAsia="Calibri" w:cstheme="minorHAnsi"/>
        </w:rPr>
      </w:pPr>
      <w:r w:rsidRPr="0092337F">
        <w:rPr>
          <w:rFonts w:eastAsia="Calibri" w:cstheme="minorHAnsi"/>
        </w:rPr>
        <w:t xml:space="preserve">The new legislation, through the transitory provision, provided for in Decree no. 8,772/2016, offered special conditions regarding the reduction and exemption of fines imposed on users who were non-compliant under PM 2,186/2001, if they proceeded with the regularization as outlined in section 3.2.3. </w:t>
      </w:r>
    </w:p>
    <w:p w14:paraId="08111D27" w14:textId="16722AB9" w:rsidR="00387BDA" w:rsidRPr="0092337F" w:rsidRDefault="00387BDA" w:rsidP="00387BDA">
      <w:pPr>
        <w:rPr>
          <w:rFonts w:cstheme="minorHAnsi"/>
        </w:rPr>
      </w:pPr>
      <w:r w:rsidRPr="0092337F">
        <w:rPr>
          <w:rFonts w:cstheme="minorHAnsi"/>
        </w:rPr>
        <w:t xml:space="preserve">Brazilian courts can take a long time to build consolidated jurisprudence on complex subjects, which can produce legal uncertainty. </w:t>
      </w:r>
    </w:p>
    <w:p w14:paraId="4D56E45D" w14:textId="490814D0" w:rsidR="00387BDA" w:rsidRPr="0092337F" w:rsidRDefault="005C19DC" w:rsidP="00387BDA">
      <w:pPr>
        <w:rPr>
          <w:rFonts w:cstheme="minorHAnsi"/>
        </w:rPr>
      </w:pPr>
      <w:r w:rsidRPr="0092337F">
        <w:rPr>
          <w:rFonts w:cstheme="minorHAnsi"/>
        </w:rPr>
        <w:t xml:space="preserve">It </w:t>
      </w:r>
      <w:r w:rsidR="007A56DA" w:rsidRPr="0092337F">
        <w:rPr>
          <w:rFonts w:cstheme="minorHAnsi"/>
        </w:rPr>
        <w:t xml:space="preserve">is </w:t>
      </w:r>
      <w:r w:rsidRPr="0092337F">
        <w:rPr>
          <w:rFonts w:cstheme="minorHAnsi"/>
        </w:rPr>
        <w:t>worth mentioning that, a</w:t>
      </w:r>
      <w:r w:rsidR="00387BDA" w:rsidRPr="0092337F">
        <w:rPr>
          <w:rFonts w:cstheme="minorHAnsi"/>
        </w:rPr>
        <w:t xml:space="preserve">ccording to the Regulatory Decree 8.772/2016, the National BS Fund can receive </w:t>
      </w:r>
      <w:r w:rsidR="005C02EE" w:rsidRPr="0092337F">
        <w:rPr>
          <w:rFonts w:cstheme="minorHAnsi"/>
        </w:rPr>
        <w:t>funds</w:t>
      </w:r>
      <w:r w:rsidR="00387BDA" w:rsidRPr="0092337F">
        <w:rPr>
          <w:rFonts w:cstheme="minorHAnsi"/>
        </w:rPr>
        <w:t xml:space="preserve"> from fines originat</w:t>
      </w:r>
      <w:r w:rsidR="004E2E3F" w:rsidRPr="0092337F">
        <w:rPr>
          <w:rFonts w:cstheme="minorHAnsi"/>
        </w:rPr>
        <w:t>ed</w:t>
      </w:r>
      <w:r w:rsidR="00387BDA" w:rsidRPr="0092337F">
        <w:rPr>
          <w:rFonts w:cstheme="minorHAnsi"/>
        </w:rPr>
        <w:t xml:space="preserve"> from non-</w:t>
      </w:r>
      <w:r w:rsidR="004E2E3F" w:rsidRPr="0092337F">
        <w:rPr>
          <w:rFonts w:cstheme="minorHAnsi"/>
        </w:rPr>
        <w:t>compliance. U</w:t>
      </w:r>
      <w:r w:rsidR="00387BDA" w:rsidRPr="0092337F">
        <w:rPr>
          <w:rFonts w:cstheme="minorHAnsi"/>
        </w:rPr>
        <w:t xml:space="preserve">p to August 2022, no such </w:t>
      </w:r>
      <w:r w:rsidR="004E2E3F" w:rsidRPr="0092337F">
        <w:rPr>
          <w:rFonts w:cstheme="minorHAnsi"/>
        </w:rPr>
        <w:t>funds</w:t>
      </w:r>
      <w:r w:rsidR="00387BDA" w:rsidRPr="0092337F">
        <w:rPr>
          <w:rFonts w:cstheme="minorHAnsi"/>
        </w:rPr>
        <w:t xml:space="preserve"> </w:t>
      </w:r>
      <w:r w:rsidR="004E2E3F" w:rsidRPr="0092337F">
        <w:rPr>
          <w:rFonts w:cstheme="minorHAnsi"/>
        </w:rPr>
        <w:t xml:space="preserve">were </w:t>
      </w:r>
      <w:r w:rsidR="00387BDA" w:rsidRPr="0092337F">
        <w:rPr>
          <w:rFonts w:cstheme="minorHAnsi"/>
        </w:rPr>
        <w:t>credited to the NBSF.</w:t>
      </w:r>
    </w:p>
    <w:p w14:paraId="3B29B80C" w14:textId="77777777" w:rsidR="5590ED66" w:rsidRPr="006C4CE2" w:rsidRDefault="5590ED66" w:rsidP="281DC5F8">
      <w:pPr>
        <w:spacing w:line="257" w:lineRule="auto"/>
        <w:rPr>
          <w:rFonts w:ascii="Calibri" w:eastAsia="Calibri" w:hAnsi="Calibri" w:cs="Calibri"/>
        </w:rPr>
      </w:pPr>
    </w:p>
    <w:p w14:paraId="23D7EE60" w14:textId="1410F28C" w:rsidR="00EE589D" w:rsidRPr="007B2BD4" w:rsidRDefault="00A7273A" w:rsidP="008A5150">
      <w:pPr>
        <w:pStyle w:val="Heading1"/>
        <w:numPr>
          <w:ilvl w:val="0"/>
          <w:numId w:val="3"/>
        </w:numPr>
        <w:rPr>
          <w:b/>
          <w:bCs/>
          <w:color w:val="0070C0"/>
          <w:sz w:val="28"/>
          <w:szCs w:val="28"/>
        </w:rPr>
      </w:pPr>
      <w:r w:rsidRPr="00123BB6">
        <w:rPr>
          <w:rFonts w:ascii="Calibri" w:eastAsia="Calibri" w:hAnsi="Calibri" w:cs="Calibri"/>
          <w:b/>
          <w:bCs/>
          <w:color w:val="0070C0"/>
        </w:rPr>
        <w:t xml:space="preserve"> </w:t>
      </w:r>
      <w:r w:rsidR="3F7734D5" w:rsidRPr="00123BB6">
        <w:rPr>
          <w:rFonts w:ascii="Calibri" w:eastAsia="Calibri" w:hAnsi="Calibri" w:cs="Calibri"/>
          <w:b/>
          <w:bCs/>
          <w:color w:val="0070C0"/>
        </w:rPr>
        <w:t xml:space="preserve"> </w:t>
      </w:r>
      <w:r w:rsidR="3F7734D5" w:rsidRPr="007B2BD4">
        <w:rPr>
          <w:b/>
          <w:bCs/>
          <w:color w:val="0070C0"/>
          <w:sz w:val="28"/>
          <w:szCs w:val="28"/>
        </w:rPr>
        <w:t xml:space="preserve">Conclusion </w:t>
      </w:r>
    </w:p>
    <w:p w14:paraId="398E69B6" w14:textId="77777777" w:rsidR="002E170D" w:rsidRPr="002E170D" w:rsidRDefault="002E170D" w:rsidP="002E170D"/>
    <w:p w14:paraId="5760883F" w14:textId="33B2458A" w:rsidR="008A5150" w:rsidRPr="00123BB6" w:rsidRDefault="008A5150" w:rsidP="008A5150">
      <w:pPr>
        <w:spacing w:line="257" w:lineRule="auto"/>
        <w:rPr>
          <w:rFonts w:eastAsiaTheme="minorEastAsia"/>
        </w:rPr>
      </w:pPr>
      <w:r w:rsidRPr="00123BB6">
        <w:rPr>
          <w:rFonts w:eastAsiaTheme="minorEastAsia"/>
        </w:rPr>
        <w:t>Brazil is one of the most biodiverse countries on the planet</w:t>
      </w:r>
      <w:r w:rsidR="002E170D" w:rsidRPr="00123BB6">
        <w:rPr>
          <w:rFonts w:eastAsiaTheme="minorEastAsia"/>
        </w:rPr>
        <w:t xml:space="preserve">. It is </w:t>
      </w:r>
      <w:r w:rsidR="00D40344" w:rsidRPr="00123BB6">
        <w:rPr>
          <w:rFonts w:eastAsiaTheme="minorEastAsia"/>
        </w:rPr>
        <w:t xml:space="preserve">a </w:t>
      </w:r>
      <w:r w:rsidR="004F4D08" w:rsidRPr="00123BB6">
        <w:rPr>
          <w:rFonts w:eastAsiaTheme="minorEastAsia"/>
        </w:rPr>
        <w:t>CBD member-country</w:t>
      </w:r>
      <w:r w:rsidR="002E170D" w:rsidRPr="00123BB6">
        <w:rPr>
          <w:rFonts w:eastAsiaTheme="minorEastAsia"/>
        </w:rPr>
        <w:t xml:space="preserve"> and </w:t>
      </w:r>
      <w:r w:rsidRPr="00123BB6">
        <w:rPr>
          <w:rFonts w:eastAsiaTheme="minorEastAsia"/>
        </w:rPr>
        <w:t>recently became a part</w:t>
      </w:r>
      <w:r w:rsidR="00D40344" w:rsidRPr="00123BB6">
        <w:rPr>
          <w:rFonts w:eastAsiaTheme="minorEastAsia"/>
        </w:rPr>
        <w:t>y</w:t>
      </w:r>
      <w:r w:rsidRPr="00123BB6">
        <w:rPr>
          <w:rFonts w:eastAsiaTheme="minorEastAsia"/>
        </w:rPr>
        <w:t xml:space="preserve"> to the Nagoya Protocol</w:t>
      </w:r>
      <w:r w:rsidR="00E64D61" w:rsidRPr="00123BB6">
        <w:rPr>
          <w:rFonts w:eastAsiaTheme="minorEastAsia"/>
        </w:rPr>
        <w:t>.</w:t>
      </w:r>
    </w:p>
    <w:p w14:paraId="2D57C921" w14:textId="7F7CCF65" w:rsidR="008A5150" w:rsidRPr="00123BB6" w:rsidRDefault="008A5150" w:rsidP="008A5150">
      <w:pPr>
        <w:spacing w:line="257" w:lineRule="auto"/>
        <w:rPr>
          <w:rFonts w:ascii="Calibri" w:eastAsia="Calibri" w:hAnsi="Calibri" w:cs="Calibri"/>
        </w:rPr>
      </w:pPr>
      <w:r w:rsidRPr="00123BB6">
        <w:rPr>
          <w:rFonts w:ascii="Calibri" w:eastAsia="Calibri" w:hAnsi="Calibri" w:cs="Calibri"/>
        </w:rPr>
        <w:t xml:space="preserve">The central objective of this paper was to assess the effectiveness of the Brazilian ABS </w:t>
      </w:r>
      <w:r w:rsidR="00CD531D" w:rsidRPr="00123BB6">
        <w:rPr>
          <w:rFonts w:ascii="Calibri" w:eastAsia="Calibri" w:hAnsi="Calibri" w:cs="Calibri"/>
        </w:rPr>
        <w:t xml:space="preserve">legal </w:t>
      </w:r>
      <w:r w:rsidRPr="00123BB6">
        <w:rPr>
          <w:rFonts w:ascii="Calibri" w:eastAsia="Calibri" w:hAnsi="Calibri" w:cs="Calibri"/>
        </w:rPr>
        <w:t>framework, by applying a cost/benefit assessment based on a comprehensive dataset which has been collected over several years in a consistent</w:t>
      </w:r>
      <w:r w:rsidR="00925114" w:rsidRPr="00123BB6">
        <w:rPr>
          <w:rFonts w:ascii="Calibri" w:eastAsia="Calibri" w:hAnsi="Calibri" w:cs="Calibri"/>
        </w:rPr>
        <w:t xml:space="preserve"> and</w:t>
      </w:r>
      <w:r w:rsidRPr="00123BB6">
        <w:rPr>
          <w:rFonts w:ascii="Calibri" w:eastAsia="Calibri" w:hAnsi="Calibri" w:cs="Calibri"/>
        </w:rPr>
        <w:t xml:space="preserve"> structured manner.</w:t>
      </w:r>
    </w:p>
    <w:p w14:paraId="11D184B2" w14:textId="4D4A5404" w:rsidR="0044614D" w:rsidRPr="00123BB6" w:rsidRDefault="008A5150" w:rsidP="008870AF">
      <w:pPr>
        <w:spacing w:line="257" w:lineRule="auto"/>
        <w:rPr>
          <w:rFonts w:ascii="Calibri" w:eastAsia="Calibri" w:hAnsi="Calibri" w:cs="Calibri"/>
        </w:rPr>
      </w:pPr>
      <w:r w:rsidRPr="00123BB6">
        <w:rPr>
          <w:rFonts w:ascii="Calibri" w:eastAsia="Calibri" w:hAnsi="Calibri" w:cs="Calibri"/>
        </w:rPr>
        <w:t>In the present study, the procedures described in Brazilian regulatory Decree 8.772/2016 were used as a roadmap for the compliance obligations encountered by users and by the government. Data was requested and retrieved periodically based on the Brazilian Law of Access to Information. The latter is indeed a powerful tool to foster transparency, governance, and accountability</w:t>
      </w:r>
      <w:r w:rsidR="00A661B9" w:rsidRPr="00123BB6">
        <w:rPr>
          <w:rFonts w:ascii="Calibri" w:eastAsia="Calibri" w:hAnsi="Calibri" w:cs="Calibri"/>
        </w:rPr>
        <w:t xml:space="preserve">. </w:t>
      </w:r>
      <w:r w:rsidR="009631B1" w:rsidRPr="00123BB6">
        <w:rPr>
          <w:rFonts w:ascii="Calibri" w:eastAsia="Calibri" w:hAnsi="Calibri" w:cs="Calibri"/>
        </w:rPr>
        <w:t>When</w:t>
      </w:r>
      <w:r w:rsidRPr="00123BB6">
        <w:rPr>
          <w:rFonts w:ascii="Calibri" w:eastAsia="Calibri" w:hAnsi="Calibri" w:cs="Calibri"/>
        </w:rPr>
        <w:t xml:space="preserve"> applied to our study, it allowed a thorough analysis of the Brazilian </w:t>
      </w:r>
      <w:r w:rsidR="001C20FC" w:rsidRPr="00123BB6">
        <w:rPr>
          <w:rFonts w:ascii="Calibri" w:eastAsia="Calibri" w:hAnsi="Calibri" w:cs="Calibri"/>
        </w:rPr>
        <w:t xml:space="preserve">current </w:t>
      </w:r>
      <w:r w:rsidRPr="00123BB6">
        <w:rPr>
          <w:rFonts w:ascii="Calibri" w:eastAsia="Calibri" w:hAnsi="Calibri" w:cs="Calibri"/>
        </w:rPr>
        <w:t>ABS regime</w:t>
      </w:r>
      <w:r w:rsidR="0044614D" w:rsidRPr="00123BB6">
        <w:rPr>
          <w:rFonts w:ascii="Calibri" w:eastAsia="Calibri" w:hAnsi="Calibri" w:cs="Calibri"/>
        </w:rPr>
        <w:t>.</w:t>
      </w:r>
    </w:p>
    <w:p w14:paraId="75A6E038" w14:textId="3D4B5462" w:rsidR="008A5150" w:rsidRPr="00123BB6" w:rsidRDefault="008A5150" w:rsidP="006465B3">
      <w:pPr>
        <w:spacing w:line="257" w:lineRule="auto"/>
        <w:rPr>
          <w:rFonts w:ascii="Calibri" w:eastAsia="Calibri" w:hAnsi="Calibri" w:cs="Calibri"/>
        </w:rPr>
      </w:pPr>
      <w:r w:rsidRPr="00123BB6">
        <w:rPr>
          <w:rFonts w:ascii="Calibri" w:eastAsia="Calibri" w:hAnsi="Calibri" w:cs="Calibri"/>
        </w:rPr>
        <w:lastRenderedPageBreak/>
        <w:t xml:space="preserve">The </w:t>
      </w:r>
      <w:r w:rsidR="0044614D" w:rsidRPr="00123BB6">
        <w:rPr>
          <w:rFonts w:ascii="Calibri" w:eastAsia="Calibri" w:hAnsi="Calibri" w:cs="Calibri"/>
        </w:rPr>
        <w:t xml:space="preserve">analysis of the </w:t>
      </w:r>
      <w:r w:rsidRPr="00123BB6">
        <w:rPr>
          <w:rFonts w:ascii="Calibri" w:eastAsia="Calibri" w:hAnsi="Calibri" w:cs="Calibri"/>
        </w:rPr>
        <w:t>official data showed that the ratio between the costs of implementing and operating the Brazilian ABS policy and the tangible benefits gained by the Brazilian society is unsatisfactory.</w:t>
      </w:r>
    </w:p>
    <w:p w14:paraId="1DF4B5DD" w14:textId="39A977E8" w:rsidR="008A5150" w:rsidRPr="00123BB6" w:rsidRDefault="008A5150" w:rsidP="008A5150">
      <w:pPr>
        <w:spacing w:line="257" w:lineRule="auto"/>
      </w:pPr>
      <w:r w:rsidRPr="00123BB6">
        <w:t xml:space="preserve">The monetary and non-monetary benefits resulting from the implementation of the Brazilian ABS framework do not even match the direct operational costs of the Brazilian government. </w:t>
      </w:r>
      <w:r w:rsidR="00586D43" w:rsidRPr="00123BB6">
        <w:t>On top</w:t>
      </w:r>
      <w:r w:rsidR="000E5B8F" w:rsidRPr="00123BB6">
        <w:t>,</w:t>
      </w:r>
      <w:r w:rsidR="00925114" w:rsidRPr="00123BB6">
        <w:t xml:space="preserve"> </w:t>
      </w:r>
      <w:r w:rsidRPr="00123BB6">
        <w:t xml:space="preserve">it is very likely that </w:t>
      </w:r>
      <w:r w:rsidR="00C86685" w:rsidRPr="00123BB6">
        <w:t xml:space="preserve">the transactional and/or compliance costs incurred by </w:t>
      </w:r>
      <w:r w:rsidRPr="00123BB6">
        <w:t>GH/ATK users</w:t>
      </w:r>
      <w:r w:rsidR="00C86685" w:rsidRPr="00123BB6">
        <w:t>,</w:t>
      </w:r>
      <w:r w:rsidRPr="00123BB6">
        <w:t xml:space="preserve"> like companies, research centers, universities, and individuals face </w:t>
      </w:r>
      <w:r w:rsidR="000E5B8F" w:rsidRPr="00123BB6">
        <w:t xml:space="preserve">are </w:t>
      </w:r>
      <w:r w:rsidRPr="00123BB6">
        <w:t>even higher</w:t>
      </w:r>
      <w:r w:rsidR="00887CC6" w:rsidRPr="00123BB6">
        <w:t xml:space="preserve"> than those assessed operational costs</w:t>
      </w:r>
      <w:r w:rsidR="00B84549" w:rsidRPr="00123BB6">
        <w:t xml:space="preserve">. Users </w:t>
      </w:r>
      <w:r w:rsidRPr="00123BB6">
        <w:t xml:space="preserve">are </w:t>
      </w:r>
      <w:r w:rsidR="00B84549" w:rsidRPr="00123BB6">
        <w:t xml:space="preserve">also </w:t>
      </w:r>
      <w:r w:rsidRPr="00123BB6">
        <w:t xml:space="preserve">exposed to a significant risk of high fines in case of purported non-compliance. </w:t>
      </w:r>
    </w:p>
    <w:p w14:paraId="4FF199F4" w14:textId="153B4ADB" w:rsidR="008A5150" w:rsidRPr="00123BB6" w:rsidRDefault="001839F3" w:rsidP="008A5150">
      <w:pPr>
        <w:rPr>
          <w:rFonts w:ascii="Calibri" w:eastAsia="Calibri" w:hAnsi="Calibri" w:cs="Calibri"/>
        </w:rPr>
      </w:pPr>
      <w:r w:rsidRPr="00123BB6">
        <w:rPr>
          <w:rFonts w:ascii="Calibri" w:eastAsia="Calibri" w:hAnsi="Calibri" w:cs="Calibri"/>
        </w:rPr>
        <w:t xml:space="preserve">Indeed, </w:t>
      </w:r>
      <w:r w:rsidR="00501C8F" w:rsidRPr="00123BB6">
        <w:rPr>
          <w:rFonts w:ascii="Calibri" w:eastAsia="Calibri" w:hAnsi="Calibri" w:cs="Calibri"/>
        </w:rPr>
        <w:t xml:space="preserve">while </w:t>
      </w:r>
      <w:r w:rsidR="00756849" w:rsidRPr="00123BB6">
        <w:rPr>
          <w:rFonts w:ascii="Calibri" w:eastAsia="Calibri" w:hAnsi="Calibri" w:cs="Calibri"/>
        </w:rPr>
        <w:t xml:space="preserve">the Provisional Measure </w:t>
      </w:r>
      <w:r w:rsidR="00501C8F" w:rsidRPr="00123BB6">
        <w:rPr>
          <w:rFonts w:ascii="Calibri" w:eastAsia="Calibri" w:hAnsi="Calibri" w:cs="Calibri"/>
        </w:rPr>
        <w:t>was</w:t>
      </w:r>
      <w:r w:rsidR="00987FEA" w:rsidRPr="00123BB6">
        <w:rPr>
          <w:rFonts w:ascii="Calibri" w:eastAsia="Calibri" w:hAnsi="Calibri" w:cs="Calibri"/>
        </w:rPr>
        <w:t xml:space="preserve"> in place</w:t>
      </w:r>
      <w:r w:rsidR="00053624" w:rsidRPr="00123BB6">
        <w:rPr>
          <w:rFonts w:ascii="Calibri" w:eastAsia="Calibri" w:hAnsi="Calibri" w:cs="Calibri"/>
        </w:rPr>
        <w:t>,</w:t>
      </w:r>
      <w:r w:rsidR="008A5150" w:rsidRPr="00123BB6">
        <w:rPr>
          <w:rFonts w:ascii="Calibri" w:eastAsia="Calibri" w:hAnsi="Calibri" w:cs="Calibri"/>
        </w:rPr>
        <w:t xml:space="preserve"> </w:t>
      </w:r>
      <w:r w:rsidR="0015615F" w:rsidRPr="00123BB6">
        <w:rPr>
          <w:rFonts w:ascii="Calibri" w:eastAsia="Calibri" w:hAnsi="Calibri" w:cs="Calibri"/>
        </w:rPr>
        <w:t>for each R$ 1.00 obtained through monetary BS</w:t>
      </w:r>
      <w:r w:rsidR="005D6A31" w:rsidRPr="00123BB6">
        <w:rPr>
          <w:rFonts w:ascii="Calibri" w:eastAsia="Calibri" w:hAnsi="Calibri" w:cs="Calibri"/>
        </w:rPr>
        <w:t>,</w:t>
      </w:r>
      <w:r w:rsidR="0015615F" w:rsidRPr="00123BB6">
        <w:rPr>
          <w:rFonts w:ascii="Calibri" w:eastAsia="Calibri" w:hAnsi="Calibri" w:cs="Calibri"/>
        </w:rPr>
        <w:t xml:space="preserve"> </w:t>
      </w:r>
      <w:r w:rsidR="008A5150" w:rsidRPr="00123BB6">
        <w:rPr>
          <w:rFonts w:ascii="Calibri" w:eastAsia="Calibri" w:hAnsi="Calibri" w:cs="Calibri"/>
        </w:rPr>
        <w:t>R$ 25.34</w:t>
      </w:r>
      <w:r w:rsidR="0035412D" w:rsidRPr="00123BB6">
        <w:rPr>
          <w:rFonts w:ascii="Calibri" w:eastAsia="Calibri" w:hAnsi="Calibri" w:cs="Calibri"/>
        </w:rPr>
        <w:t xml:space="preserve"> (nominal value)</w:t>
      </w:r>
      <w:r w:rsidR="008A5150" w:rsidRPr="00123BB6">
        <w:rPr>
          <w:rFonts w:ascii="Calibri" w:eastAsia="Calibri" w:hAnsi="Calibri" w:cs="Calibri"/>
        </w:rPr>
        <w:t xml:space="preserve"> or R$ 32.64 (adjusted to inflation</w:t>
      </w:r>
      <w:r w:rsidR="00A14627" w:rsidRPr="00123BB6">
        <w:rPr>
          <w:rFonts w:ascii="Calibri" w:eastAsia="Calibri" w:hAnsi="Calibri" w:cs="Calibri"/>
        </w:rPr>
        <w:t xml:space="preserve"> until August 2022</w:t>
      </w:r>
      <w:r w:rsidR="0035412D" w:rsidRPr="00123BB6">
        <w:rPr>
          <w:rFonts w:ascii="Calibri" w:eastAsia="Calibri" w:hAnsi="Calibri" w:cs="Calibri"/>
        </w:rPr>
        <w:t>) were issued in fines</w:t>
      </w:r>
      <w:r w:rsidR="008A5150" w:rsidRPr="00123BB6">
        <w:rPr>
          <w:rFonts w:ascii="Calibri" w:eastAsia="Calibri" w:hAnsi="Calibri" w:cs="Calibri"/>
        </w:rPr>
        <w:t>.</w:t>
      </w:r>
    </w:p>
    <w:p w14:paraId="02AC081A" w14:textId="60F9F10D" w:rsidR="008A5150" w:rsidRPr="00123BB6" w:rsidRDefault="008A5150" w:rsidP="008A5150">
      <w:pPr>
        <w:rPr>
          <w:rFonts w:ascii="Calibri" w:eastAsia="Calibri" w:hAnsi="Calibri" w:cs="Calibri"/>
        </w:rPr>
      </w:pPr>
      <w:r w:rsidRPr="00123BB6">
        <w:rPr>
          <w:rFonts w:ascii="Calibri" w:eastAsia="Calibri" w:hAnsi="Calibri" w:cs="Calibri"/>
        </w:rPr>
        <w:t>Among the millions of business</w:t>
      </w:r>
      <w:r w:rsidR="001B49FD" w:rsidRPr="00123BB6">
        <w:rPr>
          <w:rFonts w:ascii="Calibri" w:eastAsia="Calibri" w:hAnsi="Calibri" w:cs="Calibri"/>
        </w:rPr>
        <w:t>es</w:t>
      </w:r>
      <w:r w:rsidRPr="00123BB6">
        <w:rPr>
          <w:rFonts w:ascii="Calibri" w:eastAsia="Calibri" w:hAnsi="Calibri" w:cs="Calibri"/>
        </w:rPr>
        <w:t xml:space="preserve"> and </w:t>
      </w:r>
      <w:r w:rsidR="008C5CB8" w:rsidRPr="00123BB6">
        <w:rPr>
          <w:rFonts w:ascii="Calibri" w:eastAsia="Calibri" w:hAnsi="Calibri" w:cs="Calibri"/>
        </w:rPr>
        <w:t xml:space="preserve">thousands of </w:t>
      </w:r>
      <w:r w:rsidRPr="00123BB6">
        <w:rPr>
          <w:rFonts w:ascii="Calibri" w:eastAsia="Calibri" w:hAnsi="Calibri" w:cs="Calibri"/>
        </w:rPr>
        <w:t xml:space="preserve">academic institutions operating in Brazil, many of them potential GH/ATK users, only 807 </w:t>
      </w:r>
      <w:r w:rsidR="008C5CB8" w:rsidRPr="00123BB6">
        <w:rPr>
          <w:rFonts w:ascii="Calibri" w:eastAsia="Calibri" w:hAnsi="Calibri" w:cs="Calibri"/>
        </w:rPr>
        <w:t xml:space="preserve">entities </w:t>
      </w:r>
      <w:r w:rsidRPr="00123BB6">
        <w:rPr>
          <w:rFonts w:ascii="Calibri" w:eastAsia="Calibri" w:hAnsi="Calibri" w:cs="Calibri"/>
        </w:rPr>
        <w:t>were registered and validated as biodiversity users under Law 13,123/2015 in August 2022.</w:t>
      </w:r>
    </w:p>
    <w:p w14:paraId="5A783C9B" w14:textId="00EB8C4F" w:rsidR="00C7642F" w:rsidRPr="00123BB6" w:rsidRDefault="008A5150" w:rsidP="008A5150">
      <w:pPr>
        <w:spacing w:line="257" w:lineRule="auto"/>
        <w:rPr>
          <w:rFonts w:ascii="Calibri" w:eastAsia="Calibri" w:hAnsi="Calibri" w:cs="Calibri"/>
        </w:rPr>
      </w:pPr>
      <w:r w:rsidRPr="00123BB6">
        <w:rPr>
          <w:rFonts w:ascii="Calibri" w:eastAsia="Calibri" w:hAnsi="Calibri" w:cs="Calibri"/>
        </w:rPr>
        <w:t xml:space="preserve">During more than 22 years, the total amount of benefits shared by </w:t>
      </w:r>
      <w:r w:rsidR="00973E9C" w:rsidRPr="00123BB6">
        <w:rPr>
          <w:rFonts w:ascii="Calibri" w:eastAsia="Calibri" w:hAnsi="Calibri" w:cs="Calibri"/>
        </w:rPr>
        <w:t>GH</w:t>
      </w:r>
      <w:r w:rsidR="00A22E7B" w:rsidRPr="00123BB6">
        <w:rPr>
          <w:rFonts w:ascii="Calibri" w:eastAsia="Calibri" w:hAnsi="Calibri" w:cs="Calibri"/>
        </w:rPr>
        <w:t>/ATK users</w:t>
      </w:r>
      <w:r w:rsidRPr="00123BB6">
        <w:rPr>
          <w:rFonts w:ascii="Calibri" w:eastAsia="Calibri" w:hAnsi="Calibri" w:cs="Calibri"/>
        </w:rPr>
        <w:t xml:space="preserve"> accounts for less than </w:t>
      </w:r>
      <w:r w:rsidR="00043FA9" w:rsidRPr="00123BB6">
        <w:rPr>
          <w:rFonts w:ascii="Calibri" w:eastAsia="Calibri" w:hAnsi="Calibri" w:cs="Calibri"/>
        </w:rPr>
        <w:t>1</w:t>
      </w:r>
      <w:r w:rsidR="001026A0" w:rsidRPr="00123BB6">
        <w:rPr>
          <w:rFonts w:ascii="Calibri" w:eastAsia="Calibri" w:hAnsi="Calibri" w:cs="Calibri"/>
        </w:rPr>
        <w:t>8</w:t>
      </w:r>
      <w:r w:rsidR="00043FA9" w:rsidRPr="00123BB6">
        <w:rPr>
          <w:rFonts w:ascii="Calibri" w:eastAsia="Calibri" w:hAnsi="Calibri" w:cs="Calibri"/>
        </w:rPr>
        <w:t xml:space="preserve"> </w:t>
      </w:r>
      <w:r w:rsidRPr="00123BB6">
        <w:rPr>
          <w:rFonts w:ascii="Calibri" w:eastAsia="Calibri" w:hAnsi="Calibri" w:cs="Calibri"/>
        </w:rPr>
        <w:t>million reais (</w:t>
      </w:r>
      <w:r w:rsidR="00712A04" w:rsidRPr="00123BB6">
        <w:rPr>
          <w:rFonts w:ascii="Calibri" w:eastAsia="Calibri" w:hAnsi="Calibri" w:cs="Calibri"/>
        </w:rPr>
        <w:t>ar</w:t>
      </w:r>
      <w:r w:rsidR="00DA2AEC" w:rsidRPr="00123BB6">
        <w:rPr>
          <w:rFonts w:ascii="Calibri" w:eastAsia="Calibri" w:hAnsi="Calibri" w:cs="Calibri"/>
        </w:rPr>
        <w:t>ound</w:t>
      </w:r>
      <w:r w:rsidRPr="00123BB6">
        <w:rPr>
          <w:rFonts w:ascii="Calibri" w:eastAsia="Calibri" w:hAnsi="Calibri" w:cs="Calibri"/>
        </w:rPr>
        <w:t xml:space="preserve"> 3</w:t>
      </w:r>
      <w:r w:rsidR="00FF290F" w:rsidRPr="00123BB6">
        <w:rPr>
          <w:rFonts w:ascii="Calibri" w:eastAsia="Calibri" w:hAnsi="Calibri" w:cs="Calibri"/>
        </w:rPr>
        <w:t>.</w:t>
      </w:r>
      <w:r w:rsidR="00DA2AEC" w:rsidRPr="00123BB6">
        <w:rPr>
          <w:rFonts w:ascii="Calibri" w:eastAsia="Calibri" w:hAnsi="Calibri" w:cs="Calibri"/>
        </w:rPr>
        <w:t>5</w:t>
      </w:r>
      <w:r w:rsidRPr="00123BB6">
        <w:rPr>
          <w:rFonts w:ascii="Calibri" w:eastAsia="Calibri" w:hAnsi="Calibri" w:cs="Calibri"/>
        </w:rPr>
        <w:t xml:space="preserve"> million USD</w:t>
      </w:r>
      <w:r w:rsidR="00DA2AEC" w:rsidRPr="00123BB6">
        <w:rPr>
          <w:rFonts w:ascii="Calibri" w:eastAsia="Calibri" w:hAnsi="Calibri" w:cs="Calibri"/>
        </w:rPr>
        <w:t xml:space="preserve"> in </w:t>
      </w:r>
      <w:r w:rsidR="00EC649D" w:rsidRPr="00123BB6">
        <w:rPr>
          <w:rFonts w:ascii="Calibri" w:eastAsia="Calibri" w:hAnsi="Calibri" w:cs="Calibri"/>
        </w:rPr>
        <w:t>August</w:t>
      </w:r>
      <w:r w:rsidR="00DA2AEC" w:rsidRPr="00123BB6">
        <w:rPr>
          <w:rFonts w:ascii="Calibri" w:eastAsia="Calibri" w:hAnsi="Calibri" w:cs="Calibri"/>
        </w:rPr>
        <w:t xml:space="preserve"> 2022</w:t>
      </w:r>
      <w:r w:rsidRPr="00123BB6">
        <w:rPr>
          <w:rFonts w:ascii="Calibri" w:eastAsia="Calibri" w:hAnsi="Calibri" w:cs="Calibri"/>
        </w:rPr>
        <w:t>)</w:t>
      </w:r>
      <w:r w:rsidR="002F7BC4" w:rsidRPr="00123BB6">
        <w:rPr>
          <w:rFonts w:ascii="Calibri" w:eastAsia="Calibri" w:hAnsi="Calibri" w:cs="Calibri"/>
        </w:rPr>
        <w:t xml:space="preserve">, or less than </w:t>
      </w:r>
      <w:r w:rsidR="00F445E8" w:rsidRPr="00123BB6">
        <w:rPr>
          <w:rFonts w:ascii="Calibri" w:eastAsia="Calibri" w:hAnsi="Calibri" w:cs="Calibri"/>
        </w:rPr>
        <w:t xml:space="preserve">1 million reais per year </w:t>
      </w:r>
      <w:r w:rsidR="00BE477A" w:rsidRPr="00123BB6">
        <w:rPr>
          <w:rFonts w:ascii="Calibri" w:eastAsia="Calibri" w:hAnsi="Calibri" w:cs="Calibri"/>
        </w:rPr>
        <w:t>(less than 200 thousand US</w:t>
      </w:r>
      <w:r w:rsidR="00EC649D" w:rsidRPr="00123BB6">
        <w:rPr>
          <w:rFonts w:ascii="Calibri" w:eastAsia="Calibri" w:hAnsi="Calibri" w:cs="Calibri"/>
        </w:rPr>
        <w:t>D in August 2022</w:t>
      </w:r>
      <w:r w:rsidR="00BE477A" w:rsidRPr="00123BB6">
        <w:rPr>
          <w:rFonts w:ascii="Calibri" w:eastAsia="Calibri" w:hAnsi="Calibri" w:cs="Calibri"/>
        </w:rPr>
        <w:t>)</w:t>
      </w:r>
      <w:r w:rsidR="00F445E8" w:rsidRPr="00123BB6">
        <w:rPr>
          <w:rFonts w:ascii="Calibri" w:eastAsia="Calibri" w:hAnsi="Calibri" w:cs="Calibri"/>
        </w:rPr>
        <w:t xml:space="preserve">. </w:t>
      </w:r>
      <w:r w:rsidR="002F7BC4" w:rsidRPr="00123BB6">
        <w:rPr>
          <w:rFonts w:ascii="Calibri" w:eastAsia="Calibri" w:hAnsi="Calibri" w:cs="Calibri"/>
        </w:rPr>
        <w:t xml:space="preserve"> </w:t>
      </w:r>
    </w:p>
    <w:p w14:paraId="351D9700" w14:textId="31E09BD2" w:rsidR="008A5150" w:rsidRPr="00123BB6" w:rsidRDefault="00716C36" w:rsidP="00C7642F">
      <w:pPr>
        <w:spacing w:line="257" w:lineRule="auto"/>
        <w:rPr>
          <w:rFonts w:ascii="Calibri" w:eastAsia="Calibri" w:hAnsi="Calibri" w:cs="Calibri"/>
        </w:rPr>
      </w:pPr>
      <w:r w:rsidRPr="00123BB6">
        <w:rPr>
          <w:rFonts w:ascii="Calibri" w:eastAsia="Calibri" w:hAnsi="Calibri" w:cs="Calibri"/>
        </w:rPr>
        <w:t xml:space="preserve">So, from the perspective of generating benefits, the current policy </w:t>
      </w:r>
      <w:r w:rsidR="006B0386" w:rsidRPr="00123BB6">
        <w:rPr>
          <w:rFonts w:ascii="Calibri" w:eastAsia="Calibri" w:hAnsi="Calibri" w:cs="Calibri"/>
        </w:rPr>
        <w:t xml:space="preserve">is not able to </w:t>
      </w:r>
      <w:r w:rsidR="00DA79CB" w:rsidRPr="00123BB6">
        <w:rPr>
          <w:rFonts w:ascii="Calibri" w:eastAsia="Calibri" w:hAnsi="Calibri" w:cs="Calibri"/>
        </w:rPr>
        <w:t xml:space="preserve">make </w:t>
      </w:r>
      <w:r w:rsidR="001B49FD" w:rsidRPr="00123BB6">
        <w:rPr>
          <w:rFonts w:ascii="Calibri" w:eastAsia="Calibri" w:hAnsi="Calibri" w:cs="Calibri"/>
        </w:rPr>
        <w:t>a</w:t>
      </w:r>
      <w:r w:rsidR="006B0386" w:rsidRPr="00123BB6">
        <w:rPr>
          <w:rFonts w:ascii="Calibri" w:eastAsia="Calibri" w:hAnsi="Calibri" w:cs="Calibri"/>
        </w:rPr>
        <w:t xml:space="preserve"> signific</w:t>
      </w:r>
      <w:r w:rsidR="00C7642F" w:rsidRPr="00123BB6">
        <w:rPr>
          <w:rFonts w:ascii="Calibri" w:eastAsia="Calibri" w:hAnsi="Calibri" w:cs="Calibri"/>
        </w:rPr>
        <w:t>ant contribution</w:t>
      </w:r>
      <w:r w:rsidR="00AD267A" w:rsidRPr="00123BB6">
        <w:rPr>
          <w:rFonts w:ascii="Calibri" w:eastAsia="Calibri" w:hAnsi="Calibri" w:cs="Calibri"/>
        </w:rPr>
        <w:t xml:space="preserve"> neither in face of the current environment policies nor of the R&amp;D fostering policies in Brazil</w:t>
      </w:r>
      <w:r w:rsidR="00C7642F" w:rsidRPr="00123BB6">
        <w:rPr>
          <w:rFonts w:ascii="Calibri" w:eastAsia="Calibri" w:hAnsi="Calibri" w:cs="Calibri"/>
        </w:rPr>
        <w:t xml:space="preserve">. </w:t>
      </w:r>
      <w:r w:rsidR="00614146" w:rsidRPr="00123BB6">
        <w:rPr>
          <w:rFonts w:ascii="Calibri" w:eastAsia="Calibri" w:hAnsi="Calibri" w:cs="Calibri"/>
        </w:rPr>
        <w:t>O</w:t>
      </w:r>
      <w:r w:rsidR="00C7642F" w:rsidRPr="00123BB6">
        <w:rPr>
          <w:rFonts w:ascii="Calibri" w:eastAsia="Calibri" w:hAnsi="Calibri" w:cs="Calibri"/>
        </w:rPr>
        <w:t>n</w:t>
      </w:r>
      <w:r w:rsidR="00614146" w:rsidRPr="00123BB6">
        <w:rPr>
          <w:rFonts w:ascii="Calibri" w:eastAsia="Calibri" w:hAnsi="Calibri" w:cs="Calibri"/>
        </w:rPr>
        <w:t xml:space="preserve"> the other hand, </w:t>
      </w:r>
      <w:r w:rsidR="00DA79CB" w:rsidRPr="00123BB6">
        <w:rPr>
          <w:rFonts w:ascii="Calibri" w:eastAsia="Calibri" w:hAnsi="Calibri" w:cs="Calibri"/>
        </w:rPr>
        <w:t>for</w:t>
      </w:r>
      <w:r w:rsidR="008A5150" w:rsidRPr="00123BB6">
        <w:rPr>
          <w:rFonts w:ascii="Calibri" w:eastAsia="Calibri" w:hAnsi="Calibri" w:cs="Calibri"/>
        </w:rPr>
        <w:t xml:space="preserve"> users, mainly </w:t>
      </w:r>
      <w:r w:rsidR="00DA79CB" w:rsidRPr="00123BB6">
        <w:rPr>
          <w:rFonts w:ascii="Calibri" w:eastAsia="Calibri" w:hAnsi="Calibri" w:cs="Calibri"/>
        </w:rPr>
        <w:t xml:space="preserve">from </w:t>
      </w:r>
      <w:r w:rsidR="008A5150" w:rsidRPr="00123BB6">
        <w:rPr>
          <w:rFonts w:ascii="Calibri" w:eastAsia="Calibri" w:hAnsi="Calibri" w:cs="Calibri"/>
        </w:rPr>
        <w:t xml:space="preserve">the business sector, </w:t>
      </w:r>
      <w:r w:rsidR="00DA79CB" w:rsidRPr="00123BB6">
        <w:rPr>
          <w:rFonts w:ascii="Calibri" w:eastAsia="Calibri" w:hAnsi="Calibri" w:cs="Calibri"/>
        </w:rPr>
        <w:t xml:space="preserve">the </w:t>
      </w:r>
      <w:r w:rsidR="008A5150" w:rsidRPr="00123BB6">
        <w:rPr>
          <w:rFonts w:ascii="Calibri" w:eastAsia="Calibri" w:hAnsi="Calibri" w:cs="Calibri"/>
        </w:rPr>
        <w:t>legal uncertainty</w:t>
      </w:r>
      <w:r w:rsidR="00DA79CB" w:rsidRPr="00123BB6">
        <w:rPr>
          <w:rFonts w:ascii="Calibri" w:eastAsia="Calibri" w:hAnsi="Calibri" w:cs="Calibri"/>
        </w:rPr>
        <w:t xml:space="preserve"> associated with the Brazilian ABS legislation</w:t>
      </w:r>
      <w:r w:rsidR="008A5150" w:rsidRPr="00123BB6">
        <w:rPr>
          <w:rFonts w:ascii="Calibri" w:eastAsia="Calibri" w:hAnsi="Calibri" w:cs="Calibri"/>
        </w:rPr>
        <w:t xml:space="preserve"> represents </w:t>
      </w:r>
      <w:r w:rsidR="00AF7E8A" w:rsidRPr="00123BB6">
        <w:rPr>
          <w:rFonts w:ascii="Calibri" w:eastAsia="Calibri" w:hAnsi="Calibri" w:cs="Calibri"/>
        </w:rPr>
        <w:t>significant</w:t>
      </w:r>
      <w:r w:rsidR="008A5150" w:rsidRPr="00123BB6">
        <w:rPr>
          <w:rFonts w:ascii="Calibri" w:eastAsia="Calibri" w:hAnsi="Calibri" w:cs="Calibri"/>
        </w:rPr>
        <w:t xml:space="preserve"> risks</w:t>
      </w:r>
      <w:r w:rsidR="00AF7E8A" w:rsidRPr="00123BB6">
        <w:rPr>
          <w:rFonts w:ascii="Calibri" w:eastAsia="Calibri" w:hAnsi="Calibri" w:cs="Calibri"/>
        </w:rPr>
        <w:t>, which</w:t>
      </w:r>
      <w:r w:rsidR="008A5150" w:rsidRPr="00123BB6">
        <w:rPr>
          <w:rFonts w:ascii="Calibri" w:eastAsia="Calibri" w:hAnsi="Calibri" w:cs="Calibri"/>
        </w:rPr>
        <w:t xml:space="preserve"> </w:t>
      </w:r>
      <w:r w:rsidR="00DA79CB" w:rsidRPr="00123BB6">
        <w:rPr>
          <w:rFonts w:ascii="Calibri" w:eastAsia="Calibri" w:hAnsi="Calibri" w:cs="Calibri"/>
        </w:rPr>
        <w:t xml:space="preserve">likely </w:t>
      </w:r>
      <w:r w:rsidR="008A5150" w:rsidRPr="00123BB6">
        <w:rPr>
          <w:rFonts w:ascii="Calibri" w:eastAsia="Calibri" w:hAnsi="Calibri" w:cs="Calibri"/>
        </w:rPr>
        <w:t xml:space="preserve">disincentivize R&amp;D on the Brazilian biodiversity. </w:t>
      </w:r>
    </w:p>
    <w:p w14:paraId="60B4D381" w14:textId="576893C2" w:rsidR="00323F02" w:rsidRPr="00123BB6" w:rsidRDefault="00A261A6" w:rsidP="008A5150">
      <w:pPr>
        <w:rPr>
          <w:rFonts w:ascii="Calibri" w:eastAsia="Calibri" w:hAnsi="Calibri" w:cs="Calibri"/>
        </w:rPr>
      </w:pPr>
      <w:r w:rsidRPr="00123BB6">
        <w:rPr>
          <w:rFonts w:ascii="Calibri" w:eastAsia="Calibri" w:hAnsi="Calibri" w:cs="Calibri"/>
        </w:rPr>
        <w:t>T</w:t>
      </w:r>
      <w:r w:rsidR="00F930F0" w:rsidRPr="00123BB6">
        <w:rPr>
          <w:rFonts w:ascii="Calibri" w:eastAsia="Calibri" w:hAnsi="Calibri" w:cs="Calibri"/>
        </w:rPr>
        <w:t>he</w:t>
      </w:r>
      <w:r w:rsidR="007F0BAB" w:rsidRPr="00123BB6">
        <w:rPr>
          <w:rFonts w:ascii="Calibri" w:eastAsia="Calibri" w:hAnsi="Calibri" w:cs="Calibri"/>
        </w:rPr>
        <w:t xml:space="preserve"> </w:t>
      </w:r>
      <w:r w:rsidR="00A36EA1" w:rsidRPr="00123BB6">
        <w:rPr>
          <w:rFonts w:ascii="Calibri" w:eastAsia="Calibri" w:hAnsi="Calibri" w:cs="Calibri"/>
        </w:rPr>
        <w:t xml:space="preserve">achievement of the </w:t>
      </w:r>
      <w:r w:rsidR="00A03151" w:rsidRPr="00123BB6">
        <w:rPr>
          <w:rFonts w:ascii="Calibri" w:eastAsia="Calibri" w:hAnsi="Calibri" w:cs="Calibri"/>
        </w:rPr>
        <w:t xml:space="preserve">main </w:t>
      </w:r>
      <w:r w:rsidR="007F0BAB" w:rsidRPr="00123BB6">
        <w:rPr>
          <w:rFonts w:ascii="Calibri" w:eastAsia="Calibri" w:hAnsi="Calibri" w:cs="Calibri"/>
        </w:rPr>
        <w:t>purpose</w:t>
      </w:r>
      <w:r w:rsidR="007D4F68" w:rsidRPr="00123BB6">
        <w:rPr>
          <w:rFonts w:ascii="Calibri" w:eastAsia="Calibri" w:hAnsi="Calibri" w:cs="Calibri"/>
        </w:rPr>
        <w:t>s</w:t>
      </w:r>
      <w:r w:rsidR="008A5150" w:rsidRPr="00123BB6">
        <w:rPr>
          <w:rFonts w:ascii="Calibri" w:eastAsia="Calibri" w:hAnsi="Calibri" w:cs="Calibri"/>
        </w:rPr>
        <w:t xml:space="preserve"> </w:t>
      </w:r>
      <w:r w:rsidR="00AC1A8A" w:rsidRPr="00123BB6">
        <w:rPr>
          <w:rFonts w:ascii="Calibri" w:eastAsia="Calibri" w:hAnsi="Calibri" w:cs="Calibri"/>
        </w:rPr>
        <w:t xml:space="preserve">of ABS policies </w:t>
      </w:r>
      <w:r w:rsidR="00A36EA1" w:rsidRPr="00123BB6">
        <w:rPr>
          <w:rFonts w:ascii="Calibri" w:eastAsia="Calibri" w:hAnsi="Calibri" w:cs="Calibri"/>
        </w:rPr>
        <w:t xml:space="preserve">requires </w:t>
      </w:r>
      <w:r w:rsidR="00A448BD" w:rsidRPr="00123BB6">
        <w:rPr>
          <w:rFonts w:ascii="Calibri" w:eastAsia="Calibri" w:hAnsi="Calibri" w:cs="Calibri"/>
        </w:rPr>
        <w:t xml:space="preserve">incentivizing the </w:t>
      </w:r>
      <w:r w:rsidR="008A5150" w:rsidRPr="00123BB6">
        <w:rPr>
          <w:rFonts w:ascii="Calibri" w:eastAsia="Calibri" w:hAnsi="Calibri" w:cs="Calibri"/>
        </w:rPr>
        <w:t xml:space="preserve">research and development of </w:t>
      </w:r>
      <w:r w:rsidR="00F36FCC" w:rsidRPr="00123BB6">
        <w:rPr>
          <w:rFonts w:ascii="Calibri" w:eastAsia="Calibri" w:hAnsi="Calibri" w:cs="Calibri"/>
        </w:rPr>
        <w:t>innovative</w:t>
      </w:r>
      <w:r w:rsidR="00BF1225" w:rsidRPr="00123BB6">
        <w:rPr>
          <w:rFonts w:ascii="Calibri" w:eastAsia="Calibri" w:hAnsi="Calibri" w:cs="Calibri"/>
        </w:rPr>
        <w:t xml:space="preserve"> </w:t>
      </w:r>
      <w:r w:rsidR="008A5150" w:rsidRPr="00123BB6">
        <w:rPr>
          <w:rFonts w:ascii="Calibri" w:eastAsia="Calibri" w:hAnsi="Calibri" w:cs="Calibri"/>
        </w:rPr>
        <w:t xml:space="preserve">sustainable </w:t>
      </w:r>
      <w:r w:rsidR="008C7B52" w:rsidRPr="00123BB6">
        <w:rPr>
          <w:rFonts w:ascii="Calibri" w:eastAsia="Calibri" w:hAnsi="Calibri" w:cs="Calibri"/>
        </w:rPr>
        <w:t xml:space="preserve">economic activities based on the </w:t>
      </w:r>
      <w:r w:rsidR="008A5150" w:rsidRPr="00123BB6">
        <w:rPr>
          <w:rFonts w:ascii="Calibri" w:eastAsia="Calibri" w:hAnsi="Calibri" w:cs="Calibri"/>
        </w:rPr>
        <w:t>biodiversity</w:t>
      </w:r>
      <w:r w:rsidR="007E69DB" w:rsidRPr="00123BB6">
        <w:rPr>
          <w:rFonts w:ascii="Calibri" w:eastAsia="Calibri" w:hAnsi="Calibri" w:cs="Calibri"/>
        </w:rPr>
        <w:t>,</w:t>
      </w:r>
      <w:r w:rsidR="00BF1225" w:rsidRPr="00123BB6">
        <w:rPr>
          <w:rFonts w:ascii="Calibri" w:eastAsia="Calibri" w:hAnsi="Calibri" w:cs="Calibri"/>
        </w:rPr>
        <w:t xml:space="preserve"> </w:t>
      </w:r>
      <w:r w:rsidR="0019214A" w:rsidRPr="00123BB6">
        <w:rPr>
          <w:rFonts w:ascii="Calibri" w:eastAsia="Calibri" w:hAnsi="Calibri" w:cs="Calibri"/>
        </w:rPr>
        <w:t>w</w:t>
      </w:r>
      <w:r w:rsidR="00013CC1" w:rsidRPr="00123BB6">
        <w:rPr>
          <w:rFonts w:ascii="Calibri" w:eastAsia="Calibri" w:hAnsi="Calibri" w:cs="Calibri"/>
        </w:rPr>
        <w:t>hich can engage the traditional population</w:t>
      </w:r>
      <w:r w:rsidR="005610DD" w:rsidRPr="00123BB6">
        <w:rPr>
          <w:rFonts w:ascii="Calibri" w:eastAsia="Calibri" w:hAnsi="Calibri" w:cs="Calibri"/>
        </w:rPr>
        <w:t>s and</w:t>
      </w:r>
      <w:r w:rsidR="00BF1225" w:rsidRPr="00123BB6">
        <w:rPr>
          <w:rFonts w:ascii="Calibri" w:eastAsia="Calibri" w:hAnsi="Calibri" w:cs="Calibri"/>
        </w:rPr>
        <w:t xml:space="preserve"> replace </w:t>
      </w:r>
      <w:r w:rsidR="009E5805" w:rsidRPr="00123BB6">
        <w:rPr>
          <w:rFonts w:ascii="Calibri" w:eastAsia="Calibri" w:hAnsi="Calibri" w:cs="Calibri"/>
        </w:rPr>
        <w:t xml:space="preserve">predatory </w:t>
      </w:r>
      <w:r w:rsidR="005610DD" w:rsidRPr="00123BB6">
        <w:rPr>
          <w:rFonts w:ascii="Calibri" w:eastAsia="Calibri" w:hAnsi="Calibri" w:cs="Calibri"/>
        </w:rPr>
        <w:t xml:space="preserve">or </w:t>
      </w:r>
      <w:r w:rsidR="009E5805" w:rsidRPr="00123BB6">
        <w:rPr>
          <w:rFonts w:ascii="Calibri" w:eastAsia="Calibri" w:hAnsi="Calibri" w:cs="Calibri"/>
        </w:rPr>
        <w:t>non</w:t>
      </w:r>
      <w:r w:rsidR="005F04E9" w:rsidRPr="00123BB6">
        <w:rPr>
          <w:rFonts w:ascii="Calibri" w:eastAsia="Calibri" w:hAnsi="Calibri" w:cs="Calibri"/>
        </w:rPr>
        <w:t xml:space="preserve">-sustainable </w:t>
      </w:r>
      <w:r w:rsidR="00AA0BEE" w:rsidRPr="00123BB6">
        <w:rPr>
          <w:rFonts w:ascii="Calibri" w:eastAsia="Calibri" w:hAnsi="Calibri" w:cs="Calibri"/>
        </w:rPr>
        <w:t>activities</w:t>
      </w:r>
      <w:r w:rsidR="008647A8" w:rsidRPr="00123BB6">
        <w:rPr>
          <w:rFonts w:ascii="Calibri" w:eastAsia="Calibri" w:hAnsi="Calibri" w:cs="Calibri"/>
        </w:rPr>
        <w:t>, while</w:t>
      </w:r>
      <w:r w:rsidR="00AA0BEE" w:rsidRPr="00123BB6">
        <w:rPr>
          <w:rFonts w:ascii="Calibri" w:eastAsia="Calibri" w:hAnsi="Calibri" w:cs="Calibri"/>
        </w:rPr>
        <w:t xml:space="preserve"> </w:t>
      </w:r>
      <w:r w:rsidR="008647A8" w:rsidRPr="00123BB6">
        <w:rPr>
          <w:rFonts w:ascii="Calibri" w:eastAsia="Calibri" w:hAnsi="Calibri" w:cs="Calibri"/>
        </w:rPr>
        <w:t>possibly increas</w:t>
      </w:r>
      <w:r w:rsidR="005206BD" w:rsidRPr="00123BB6">
        <w:rPr>
          <w:rFonts w:ascii="Calibri" w:eastAsia="Calibri" w:hAnsi="Calibri" w:cs="Calibri"/>
        </w:rPr>
        <w:t xml:space="preserve">ing traditional population average </w:t>
      </w:r>
      <w:r w:rsidR="00CE6D31" w:rsidRPr="00123BB6">
        <w:rPr>
          <w:rFonts w:ascii="Calibri" w:eastAsia="Calibri" w:hAnsi="Calibri" w:cs="Calibri"/>
        </w:rPr>
        <w:t>income</w:t>
      </w:r>
      <w:r w:rsidR="00235BCC" w:rsidRPr="00123BB6">
        <w:rPr>
          <w:rFonts w:ascii="Calibri" w:eastAsia="Calibri" w:hAnsi="Calibri" w:cs="Calibri"/>
        </w:rPr>
        <w:t xml:space="preserve">. </w:t>
      </w:r>
    </w:p>
    <w:p w14:paraId="087D3F0E" w14:textId="2D478DC2" w:rsidR="008A5150" w:rsidRPr="00123BB6" w:rsidRDefault="00661999" w:rsidP="008A5150">
      <w:pPr>
        <w:rPr>
          <w:rFonts w:ascii="Calibri" w:eastAsia="Calibri" w:hAnsi="Calibri" w:cs="Calibri"/>
        </w:rPr>
      </w:pPr>
      <w:r w:rsidRPr="00123BB6">
        <w:rPr>
          <w:rFonts w:ascii="Calibri" w:eastAsia="Calibri" w:hAnsi="Calibri" w:cs="Calibri"/>
        </w:rPr>
        <w:t xml:space="preserve">Based on the assessment presented in this study, we conclude that the Brazilian ABS policy needs to be improved for those objectives to be more easily achieved.  </w:t>
      </w:r>
      <w:r w:rsidR="00966AD5" w:rsidRPr="00123BB6">
        <w:rPr>
          <w:rFonts w:ascii="Calibri" w:eastAsia="Calibri" w:hAnsi="Calibri" w:cs="Calibri"/>
        </w:rPr>
        <w:t>Brazil</w:t>
      </w:r>
      <w:r w:rsidR="00DA79CB" w:rsidRPr="00123BB6">
        <w:rPr>
          <w:rFonts w:ascii="Calibri" w:eastAsia="Calibri" w:hAnsi="Calibri" w:cs="Calibri"/>
        </w:rPr>
        <w:t>’s</w:t>
      </w:r>
      <w:r w:rsidR="00966AD5" w:rsidRPr="00123BB6">
        <w:rPr>
          <w:rFonts w:ascii="Calibri" w:eastAsia="Calibri" w:hAnsi="Calibri" w:cs="Calibri"/>
        </w:rPr>
        <w:t xml:space="preserve"> </w:t>
      </w:r>
      <w:r w:rsidR="00DA79CB" w:rsidRPr="00123BB6">
        <w:rPr>
          <w:rFonts w:ascii="Calibri" w:eastAsia="Calibri" w:hAnsi="Calibri" w:cs="Calibri"/>
        </w:rPr>
        <w:t xml:space="preserve">rich </w:t>
      </w:r>
      <w:r w:rsidR="00891C3C" w:rsidRPr="00123BB6">
        <w:rPr>
          <w:rFonts w:ascii="Calibri" w:eastAsia="Calibri" w:hAnsi="Calibri" w:cs="Calibri"/>
        </w:rPr>
        <w:t xml:space="preserve">biodiversity </w:t>
      </w:r>
      <w:r w:rsidR="00557ED3" w:rsidRPr="00123BB6">
        <w:rPr>
          <w:rFonts w:ascii="Calibri" w:eastAsia="Calibri" w:hAnsi="Calibri" w:cs="Calibri"/>
        </w:rPr>
        <w:t>can represent actual opportunities</w:t>
      </w:r>
      <w:r w:rsidR="00EB104B" w:rsidRPr="00123BB6">
        <w:rPr>
          <w:rFonts w:ascii="Calibri" w:eastAsia="Calibri" w:hAnsi="Calibri" w:cs="Calibri"/>
        </w:rPr>
        <w:t xml:space="preserve"> to generate</w:t>
      </w:r>
      <w:r w:rsidR="008A5150" w:rsidRPr="00123BB6">
        <w:rPr>
          <w:rFonts w:ascii="Calibri" w:eastAsia="Calibri" w:hAnsi="Calibri" w:cs="Calibri"/>
        </w:rPr>
        <w:t xml:space="preserve"> </w:t>
      </w:r>
      <w:r w:rsidR="00394279" w:rsidRPr="00123BB6">
        <w:rPr>
          <w:rFonts w:ascii="Calibri" w:eastAsia="Calibri" w:hAnsi="Calibri" w:cs="Calibri"/>
        </w:rPr>
        <w:t>sustainable occupations and income improvement</w:t>
      </w:r>
      <w:r w:rsidR="008A5150" w:rsidRPr="00123BB6">
        <w:rPr>
          <w:rFonts w:ascii="Calibri" w:eastAsia="Calibri" w:hAnsi="Calibri" w:cs="Calibri"/>
        </w:rPr>
        <w:t xml:space="preserve"> for </w:t>
      </w:r>
      <w:r w:rsidR="001B43E4" w:rsidRPr="00123BB6">
        <w:rPr>
          <w:rFonts w:ascii="Calibri" w:eastAsia="Calibri" w:hAnsi="Calibri" w:cs="Calibri"/>
        </w:rPr>
        <w:t xml:space="preserve">traditional populations, </w:t>
      </w:r>
      <w:r w:rsidR="001D6EC0" w:rsidRPr="00123BB6">
        <w:rPr>
          <w:rFonts w:ascii="Calibri" w:eastAsia="Calibri" w:hAnsi="Calibri" w:cs="Calibri"/>
        </w:rPr>
        <w:t>both</w:t>
      </w:r>
      <w:r w:rsidR="00BE6BA6" w:rsidRPr="00123BB6">
        <w:rPr>
          <w:rFonts w:ascii="Calibri" w:eastAsia="Calibri" w:hAnsi="Calibri" w:cs="Calibri"/>
        </w:rPr>
        <w:t xml:space="preserve"> as compensation </w:t>
      </w:r>
      <w:r w:rsidR="00462D73" w:rsidRPr="00123BB6">
        <w:rPr>
          <w:rFonts w:ascii="Calibri" w:eastAsia="Calibri" w:hAnsi="Calibri" w:cs="Calibri"/>
        </w:rPr>
        <w:t>for their work in the new activities</w:t>
      </w:r>
      <w:r w:rsidR="001D6EC0" w:rsidRPr="00123BB6">
        <w:rPr>
          <w:rFonts w:ascii="Calibri" w:eastAsia="Calibri" w:hAnsi="Calibri" w:cs="Calibri"/>
        </w:rPr>
        <w:t xml:space="preserve"> and for valuable knowledge associated with the Brazilian GH</w:t>
      </w:r>
      <w:r w:rsidR="00967C1C" w:rsidRPr="00123BB6">
        <w:rPr>
          <w:rFonts w:ascii="Calibri" w:eastAsia="Calibri" w:hAnsi="Calibri" w:cs="Calibri"/>
        </w:rPr>
        <w:t xml:space="preserve">. </w:t>
      </w:r>
      <w:r w:rsidR="0018594B" w:rsidRPr="00123BB6">
        <w:rPr>
          <w:rFonts w:ascii="Calibri" w:eastAsia="Calibri" w:hAnsi="Calibri" w:cs="Calibri"/>
        </w:rPr>
        <w:t xml:space="preserve">Continuous and systematic </w:t>
      </w:r>
      <w:r w:rsidR="00C250DB" w:rsidRPr="00123BB6">
        <w:rPr>
          <w:rFonts w:ascii="Calibri" w:eastAsia="Calibri" w:hAnsi="Calibri" w:cs="Calibri"/>
        </w:rPr>
        <w:t xml:space="preserve">investments can indeed bring improvements </w:t>
      </w:r>
      <w:r w:rsidR="001B43E4" w:rsidRPr="00123BB6">
        <w:rPr>
          <w:rFonts w:ascii="Calibri" w:eastAsia="Calibri" w:hAnsi="Calibri" w:cs="Calibri"/>
        </w:rPr>
        <w:t xml:space="preserve">to </w:t>
      </w:r>
      <w:r w:rsidR="00B71519" w:rsidRPr="00123BB6">
        <w:rPr>
          <w:rFonts w:ascii="Calibri" w:eastAsia="Calibri" w:hAnsi="Calibri" w:cs="Calibri"/>
        </w:rPr>
        <w:t xml:space="preserve">the country’s </w:t>
      </w:r>
      <w:r w:rsidR="00C250DB" w:rsidRPr="00123BB6">
        <w:rPr>
          <w:rFonts w:ascii="Calibri" w:eastAsia="Calibri" w:hAnsi="Calibri" w:cs="Calibri"/>
        </w:rPr>
        <w:t>economy</w:t>
      </w:r>
      <w:r w:rsidR="00B71519" w:rsidRPr="00123BB6">
        <w:rPr>
          <w:rFonts w:ascii="Calibri" w:eastAsia="Calibri" w:hAnsi="Calibri" w:cs="Calibri"/>
        </w:rPr>
        <w:t xml:space="preserve">. </w:t>
      </w:r>
      <w:r w:rsidR="00076661" w:rsidRPr="00123BB6">
        <w:rPr>
          <w:rFonts w:ascii="Calibri" w:eastAsia="Calibri" w:hAnsi="Calibri" w:cs="Calibri"/>
        </w:rPr>
        <w:t xml:space="preserve">The authors believe those opportunities will </w:t>
      </w:r>
      <w:r w:rsidR="009B2D69" w:rsidRPr="00123BB6">
        <w:rPr>
          <w:rFonts w:ascii="Calibri" w:eastAsia="Calibri" w:hAnsi="Calibri" w:cs="Calibri"/>
        </w:rPr>
        <w:t xml:space="preserve">unfold </w:t>
      </w:r>
      <w:r w:rsidR="00757392" w:rsidRPr="00123BB6">
        <w:rPr>
          <w:rFonts w:ascii="Calibri" w:eastAsia="Calibri" w:hAnsi="Calibri" w:cs="Calibri"/>
        </w:rPr>
        <w:t>more effectively</w:t>
      </w:r>
      <w:r w:rsidR="009B2D69" w:rsidRPr="00123BB6">
        <w:rPr>
          <w:rFonts w:ascii="Calibri" w:eastAsia="Calibri" w:hAnsi="Calibri" w:cs="Calibri"/>
        </w:rPr>
        <w:t xml:space="preserve"> if </w:t>
      </w:r>
      <w:r w:rsidR="00E4209D" w:rsidRPr="00123BB6">
        <w:rPr>
          <w:rFonts w:ascii="Calibri" w:eastAsia="Calibri" w:hAnsi="Calibri" w:cs="Calibri"/>
        </w:rPr>
        <w:t xml:space="preserve">ABS policies </w:t>
      </w:r>
      <w:r w:rsidR="004204C4" w:rsidRPr="00123BB6">
        <w:rPr>
          <w:rFonts w:ascii="Calibri" w:eastAsia="Calibri" w:hAnsi="Calibri" w:cs="Calibri"/>
        </w:rPr>
        <w:t>foster</w:t>
      </w:r>
      <w:r w:rsidR="00AD0308" w:rsidRPr="00123BB6">
        <w:rPr>
          <w:rFonts w:ascii="Calibri" w:eastAsia="Calibri" w:hAnsi="Calibri" w:cs="Calibri"/>
        </w:rPr>
        <w:t xml:space="preserve"> and help </w:t>
      </w:r>
      <w:r w:rsidR="00DA79CB" w:rsidRPr="00123BB6">
        <w:rPr>
          <w:rFonts w:ascii="Calibri" w:eastAsia="Calibri" w:hAnsi="Calibri" w:cs="Calibri"/>
        </w:rPr>
        <w:t xml:space="preserve">support </w:t>
      </w:r>
      <w:r w:rsidR="00112C80" w:rsidRPr="00123BB6">
        <w:rPr>
          <w:rFonts w:ascii="Calibri" w:eastAsia="Calibri" w:hAnsi="Calibri" w:cs="Calibri"/>
        </w:rPr>
        <w:t>the intended</w:t>
      </w:r>
      <w:r w:rsidR="004204C4" w:rsidRPr="00123BB6">
        <w:rPr>
          <w:rFonts w:ascii="Calibri" w:eastAsia="Calibri" w:hAnsi="Calibri" w:cs="Calibri"/>
        </w:rPr>
        <w:t xml:space="preserve"> R&amp;D activities</w:t>
      </w:r>
      <w:r w:rsidR="00A95455" w:rsidRPr="00123BB6">
        <w:rPr>
          <w:rFonts w:ascii="Calibri" w:eastAsia="Calibri" w:hAnsi="Calibri" w:cs="Calibri"/>
        </w:rPr>
        <w:t>,</w:t>
      </w:r>
      <w:r w:rsidR="004204C4" w:rsidRPr="00123BB6">
        <w:rPr>
          <w:rFonts w:ascii="Calibri" w:eastAsia="Calibri" w:hAnsi="Calibri" w:cs="Calibri"/>
        </w:rPr>
        <w:t xml:space="preserve"> </w:t>
      </w:r>
      <w:r w:rsidR="00DA79CB" w:rsidRPr="00123BB6">
        <w:rPr>
          <w:rFonts w:ascii="Calibri" w:eastAsia="Calibri" w:hAnsi="Calibri" w:cs="Calibri"/>
        </w:rPr>
        <w:t>instead of</w:t>
      </w:r>
      <w:r w:rsidR="004204C4" w:rsidRPr="00123BB6">
        <w:rPr>
          <w:rFonts w:ascii="Calibri" w:eastAsia="Calibri" w:hAnsi="Calibri" w:cs="Calibri"/>
        </w:rPr>
        <w:t xml:space="preserve"> </w:t>
      </w:r>
      <w:r w:rsidR="008A5150" w:rsidRPr="00123BB6">
        <w:rPr>
          <w:rFonts w:ascii="Calibri" w:eastAsia="Calibri" w:hAnsi="Calibri" w:cs="Calibri"/>
        </w:rPr>
        <w:t>impos</w:t>
      </w:r>
      <w:r w:rsidR="00DA79CB" w:rsidRPr="00123BB6">
        <w:rPr>
          <w:rFonts w:ascii="Calibri" w:eastAsia="Calibri" w:hAnsi="Calibri" w:cs="Calibri"/>
        </w:rPr>
        <w:t>ing</w:t>
      </w:r>
      <w:r w:rsidR="00295D8F" w:rsidRPr="00123BB6">
        <w:rPr>
          <w:rFonts w:ascii="Calibri" w:eastAsia="Calibri" w:hAnsi="Calibri" w:cs="Calibri"/>
        </w:rPr>
        <w:t xml:space="preserve"> </w:t>
      </w:r>
      <w:r w:rsidR="00112C80" w:rsidRPr="00123BB6">
        <w:rPr>
          <w:rFonts w:ascii="Calibri" w:eastAsia="Calibri" w:hAnsi="Calibri" w:cs="Calibri"/>
        </w:rPr>
        <w:t xml:space="preserve">regulatory and </w:t>
      </w:r>
      <w:r w:rsidR="00A95455" w:rsidRPr="00123BB6">
        <w:rPr>
          <w:rFonts w:ascii="Calibri" w:eastAsia="Calibri" w:hAnsi="Calibri" w:cs="Calibri"/>
        </w:rPr>
        <w:t xml:space="preserve">monetary </w:t>
      </w:r>
      <w:r w:rsidR="008A5150" w:rsidRPr="00123BB6">
        <w:rPr>
          <w:rFonts w:ascii="Calibri" w:eastAsia="Calibri" w:hAnsi="Calibri" w:cs="Calibri"/>
        </w:rPr>
        <w:t xml:space="preserve">barriers </w:t>
      </w:r>
      <w:r w:rsidR="00A95455" w:rsidRPr="00123BB6">
        <w:rPr>
          <w:rFonts w:ascii="Calibri" w:eastAsia="Calibri" w:hAnsi="Calibri" w:cs="Calibri"/>
        </w:rPr>
        <w:t>on</w:t>
      </w:r>
      <w:r w:rsidR="008A5150" w:rsidRPr="00123BB6">
        <w:rPr>
          <w:rFonts w:ascii="Calibri" w:eastAsia="Calibri" w:hAnsi="Calibri" w:cs="Calibri"/>
        </w:rPr>
        <w:t xml:space="preserve"> </w:t>
      </w:r>
      <w:r w:rsidR="004204C4" w:rsidRPr="00123BB6">
        <w:rPr>
          <w:rFonts w:ascii="Calibri" w:eastAsia="Calibri" w:hAnsi="Calibri" w:cs="Calibri"/>
        </w:rPr>
        <w:t>the</w:t>
      </w:r>
      <w:r w:rsidR="00B27A90" w:rsidRPr="00123BB6">
        <w:rPr>
          <w:rFonts w:ascii="Calibri" w:eastAsia="Calibri" w:hAnsi="Calibri" w:cs="Calibri"/>
        </w:rPr>
        <w:t>ir execution</w:t>
      </w:r>
      <w:r w:rsidR="008A5150" w:rsidRPr="00123BB6">
        <w:rPr>
          <w:rFonts w:ascii="Calibri" w:eastAsia="Calibri" w:hAnsi="Calibri" w:cs="Calibri"/>
        </w:rPr>
        <w:t xml:space="preserve">. </w:t>
      </w:r>
    </w:p>
    <w:p w14:paraId="76A27C01" w14:textId="08260B87" w:rsidR="00123BB6" w:rsidRPr="00626190" w:rsidRDefault="00626190" w:rsidP="00626190">
      <w:pPr>
        <w:spacing w:line="257" w:lineRule="auto"/>
      </w:pPr>
      <w:r w:rsidRPr="00626190">
        <w:rPr>
          <w:b/>
          <w:bCs/>
        </w:rPr>
        <w:t>Author Contributions</w:t>
      </w:r>
      <w:r w:rsidRPr="00626190">
        <w:t xml:space="preserve">: </w:t>
      </w:r>
      <w:r>
        <w:t xml:space="preserve">Both </w:t>
      </w:r>
      <w:r w:rsidRPr="00626190">
        <w:t>authors contributed to the conceptualization, writing, reviewing, and editing</w:t>
      </w:r>
      <w:r>
        <w:t xml:space="preserve"> </w:t>
      </w:r>
      <w:r w:rsidRPr="00626190">
        <w:t xml:space="preserve">of the article. </w:t>
      </w:r>
      <w:r>
        <w:t>The</w:t>
      </w:r>
      <w:r w:rsidRPr="00626190">
        <w:t xml:space="preserve"> authors have read and agreed to the published version of the manuscript.</w:t>
      </w:r>
      <w:r>
        <w:t xml:space="preserve"> The views and opinions expressed in this article are those of the authors in their personal capacity.</w:t>
      </w:r>
    </w:p>
    <w:p w14:paraId="1EA67CE6" w14:textId="4BA63C42" w:rsidR="009305A1" w:rsidRDefault="001315FD" w:rsidP="009305A1">
      <w:pPr>
        <w:spacing w:line="257" w:lineRule="auto"/>
      </w:pPr>
      <w:r w:rsidRPr="00626190">
        <w:rPr>
          <w:b/>
          <w:bCs/>
        </w:rPr>
        <w:lastRenderedPageBreak/>
        <w:t>Statement</w:t>
      </w:r>
      <w:r w:rsidR="00626190" w:rsidRPr="00626190">
        <w:rPr>
          <w:b/>
          <w:bCs/>
        </w:rPr>
        <w:t>:</w:t>
      </w:r>
      <w:r w:rsidR="00626190">
        <w:t xml:space="preserve"> </w:t>
      </w:r>
      <w:r w:rsidR="009305A1">
        <w:t xml:space="preserve">The dataset presented was obtained from public sources, </w:t>
      </w:r>
      <w:r w:rsidR="007425C7">
        <w:t>consolidated,</w:t>
      </w:r>
      <w:r w:rsidR="009305A1">
        <w:t xml:space="preserve"> and assessed independently over the last five years by Dr. Diana Jungmann. It is also available as a “</w:t>
      </w:r>
      <w:hyperlink r:id="rId15" w:history="1">
        <w:r w:rsidR="009305A1" w:rsidRPr="008B7B72">
          <w:rPr>
            <w:rStyle w:val="Hyperlink"/>
          </w:rPr>
          <w:t>Master Class</w:t>
        </w:r>
      </w:hyperlink>
      <w:r w:rsidR="009305A1">
        <w:t>” with an annually updated version. The publication of this article was enabled through funding by the International Federation of Pharmaceutical Manufacturers and Associations, CropLife International and DSM.</w:t>
      </w:r>
    </w:p>
    <w:p w14:paraId="6C57FC21" w14:textId="24A6A09E" w:rsidR="1642B811" w:rsidRDefault="5590ED66" w:rsidP="00271D67">
      <w:pPr>
        <w:spacing w:line="257" w:lineRule="auto"/>
        <w:rPr>
          <w:b/>
          <w:bCs/>
        </w:rPr>
      </w:pPr>
      <w:r>
        <w:br/>
      </w:r>
      <w:r w:rsidR="54D28F68" w:rsidRPr="54D28F68">
        <w:rPr>
          <w:b/>
          <w:bCs/>
        </w:rPr>
        <w:t>REFERENCES</w:t>
      </w:r>
    </w:p>
    <w:sectPr w:rsidR="1642B811">
      <w:endnotePr>
        <w:numFmt w:val="decimal"/>
      </w:endnotePr>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45E42" w14:textId="77777777" w:rsidR="008B6E2D" w:rsidRDefault="008B6E2D">
      <w:pPr>
        <w:spacing w:after="0" w:line="240" w:lineRule="auto"/>
      </w:pPr>
      <w:r>
        <w:separator/>
      </w:r>
    </w:p>
  </w:endnote>
  <w:endnote w:type="continuationSeparator" w:id="0">
    <w:p w14:paraId="15E18F1B" w14:textId="77777777" w:rsidR="008B6E2D" w:rsidRDefault="008B6E2D">
      <w:pPr>
        <w:spacing w:after="0" w:line="240" w:lineRule="auto"/>
      </w:pPr>
      <w:r>
        <w:continuationSeparator/>
      </w:r>
    </w:p>
  </w:endnote>
  <w:endnote w:type="continuationNotice" w:id="1">
    <w:p w14:paraId="55A8C45C" w14:textId="77777777" w:rsidR="008B6E2D" w:rsidRDefault="008B6E2D">
      <w:pPr>
        <w:spacing w:after="0" w:line="240" w:lineRule="auto"/>
      </w:pPr>
    </w:p>
  </w:endnote>
  <w:endnote w:id="2">
    <w:p w14:paraId="47B3206B" w14:textId="2AB0B558" w:rsidR="00271D67" w:rsidRPr="002202DB" w:rsidRDefault="00271D67" w:rsidP="002202DB">
      <w:pPr>
        <w:spacing w:after="0" w:line="257" w:lineRule="auto"/>
        <w:rPr>
          <w:rFonts w:ascii="Calibri" w:eastAsia="Calibri" w:hAnsi="Calibri" w:cs="Calibri"/>
          <w:sz w:val="20"/>
          <w:szCs w:val="20"/>
        </w:rPr>
      </w:pPr>
      <w:r>
        <w:rPr>
          <w:rStyle w:val="EndnoteReference"/>
        </w:rPr>
        <w:endnoteRef/>
      </w:r>
      <w:r>
        <w:t xml:space="preserve"> </w:t>
      </w:r>
      <w:r w:rsidRPr="0083744B">
        <w:rPr>
          <w:rFonts w:ascii="Calibri" w:eastAsia="Calibri" w:hAnsi="Calibri" w:cs="Calibri"/>
          <w:sz w:val="20"/>
          <w:szCs w:val="20"/>
        </w:rPr>
        <w:t xml:space="preserve">United Nations Conference on Environment and Development, Rio de Janeiro, Brazil. Link &lt;&lt; </w:t>
      </w:r>
      <w:hyperlink r:id="rId1" w:history="1">
        <w:r w:rsidRPr="0083744B">
          <w:rPr>
            <w:rStyle w:val="Hyperlink"/>
            <w:rFonts w:ascii="Calibri" w:eastAsia="Calibri" w:hAnsi="Calibri" w:cs="Calibri"/>
          </w:rPr>
          <w:t>https://www.un.org/en/conferences/environment/rio1992</w:t>
        </w:r>
      </w:hyperlink>
      <w:r w:rsidRPr="0083744B">
        <w:rPr>
          <w:rFonts w:ascii="Calibri" w:eastAsia="Calibri" w:hAnsi="Calibri" w:cs="Calibri"/>
          <w:sz w:val="20"/>
          <w:szCs w:val="20"/>
        </w:rPr>
        <w:t xml:space="preserve"> &gt;&gt; </w:t>
      </w:r>
      <w:r w:rsidRPr="0083744B">
        <w:rPr>
          <w:rFonts w:ascii="Calibri" w:eastAsia="Calibri" w:hAnsi="Calibri" w:cs="Calibri"/>
        </w:rPr>
        <w:t xml:space="preserve">Link checked on </w:t>
      </w:r>
      <w:r w:rsidRPr="0083744B">
        <w:rPr>
          <w:rFonts w:ascii="Calibri" w:eastAsia="Calibri" w:hAnsi="Calibri" w:cs="Calibri"/>
          <w:sz w:val="20"/>
          <w:szCs w:val="20"/>
        </w:rPr>
        <w:t>22/09/2022.</w:t>
      </w:r>
    </w:p>
  </w:endnote>
  <w:endnote w:id="3">
    <w:p w14:paraId="304CFB6B" w14:textId="657767F2" w:rsidR="00271D67" w:rsidRPr="002202DB" w:rsidRDefault="00271D67" w:rsidP="002202DB">
      <w:pPr>
        <w:spacing w:after="0" w:line="257" w:lineRule="auto"/>
        <w:rPr>
          <w:rFonts w:ascii="Calibri" w:eastAsia="Calibri" w:hAnsi="Calibri" w:cs="Calibri"/>
          <w:sz w:val="20"/>
          <w:szCs w:val="20"/>
        </w:rPr>
      </w:pPr>
      <w:r>
        <w:rPr>
          <w:rStyle w:val="EndnoteReference"/>
        </w:rPr>
        <w:endnoteRef/>
      </w:r>
      <w:r>
        <w:t xml:space="preserve"> </w:t>
      </w:r>
      <w:r w:rsidRPr="0083744B">
        <w:rPr>
          <w:rFonts w:ascii="Calibri" w:eastAsia="Calibri" w:hAnsi="Calibri" w:cs="Calibri"/>
          <w:sz w:val="20"/>
          <w:szCs w:val="20"/>
        </w:rPr>
        <w:t xml:space="preserve">The Convention on Biological Diversity. Available at &lt;&lt; </w:t>
      </w:r>
      <w:hyperlink r:id="rId2" w:history="1">
        <w:r w:rsidRPr="0083744B">
          <w:rPr>
            <w:rStyle w:val="Hyperlink"/>
            <w:rFonts w:ascii="Calibri" w:eastAsia="Calibri" w:hAnsi="Calibri" w:cs="Calibri"/>
          </w:rPr>
          <w:t>https://www.cbd.int/Convention</w:t>
        </w:r>
      </w:hyperlink>
      <w:r w:rsidRPr="0083744B">
        <w:rPr>
          <w:rFonts w:ascii="Calibri" w:eastAsia="Calibri" w:hAnsi="Calibri" w:cs="Calibri"/>
          <w:sz w:val="20"/>
          <w:szCs w:val="20"/>
        </w:rPr>
        <w:t xml:space="preserve"> / /&gt; &gt; </w:t>
      </w:r>
      <w:r w:rsidRPr="0083744B">
        <w:rPr>
          <w:rFonts w:ascii="Calibri" w:eastAsia="Calibri" w:hAnsi="Calibri" w:cs="Calibri"/>
        </w:rPr>
        <w:t xml:space="preserve">Link checked on </w:t>
      </w:r>
      <w:r w:rsidRPr="0083744B">
        <w:rPr>
          <w:rFonts w:ascii="Calibri" w:eastAsia="Calibri" w:hAnsi="Calibri" w:cs="Calibri"/>
          <w:sz w:val="20"/>
          <w:szCs w:val="20"/>
        </w:rPr>
        <w:t xml:space="preserve">28/09/2022. </w:t>
      </w:r>
    </w:p>
  </w:endnote>
  <w:endnote w:id="4">
    <w:p w14:paraId="66A8726D" w14:textId="099CD661" w:rsidR="00271D67" w:rsidRPr="002202DB" w:rsidRDefault="00271D67" w:rsidP="002202DB">
      <w:pPr>
        <w:spacing w:after="0" w:line="257" w:lineRule="auto"/>
        <w:rPr>
          <w:rFonts w:ascii="Calibri" w:eastAsia="Calibri" w:hAnsi="Calibri" w:cs="Calibri"/>
          <w:sz w:val="20"/>
          <w:szCs w:val="20"/>
        </w:rPr>
      </w:pPr>
      <w:r>
        <w:rPr>
          <w:rStyle w:val="EndnoteReference"/>
        </w:rPr>
        <w:endnoteRef/>
      </w:r>
      <w:r w:rsidRPr="002202DB">
        <w:rPr>
          <w:lang w:val="pt-BR"/>
        </w:rPr>
        <w:t xml:space="preserve"> </w:t>
      </w:r>
      <w:r w:rsidRPr="00752D3D">
        <w:rPr>
          <w:rFonts w:ascii="Calibri" w:eastAsia="Calibri" w:hAnsi="Calibri" w:cs="Calibri"/>
          <w:sz w:val="20"/>
          <w:szCs w:val="20"/>
          <w:lang w:val="pt-BR"/>
        </w:rPr>
        <w:t>Decreto nº 2.519, de 16 de março de 1998.</w:t>
      </w:r>
      <w:r w:rsidRPr="00752D3D">
        <w:rPr>
          <w:rFonts w:ascii="Calibri" w:eastAsia="Calibri" w:hAnsi="Calibri" w:cs="Calibri"/>
          <w:lang w:val="pt-BR"/>
        </w:rPr>
        <w:t xml:space="preserve"> </w:t>
      </w:r>
      <w:r w:rsidRPr="00752D3D">
        <w:rPr>
          <w:rFonts w:ascii="Calibri" w:eastAsia="Calibri" w:hAnsi="Calibri" w:cs="Calibri"/>
          <w:sz w:val="20"/>
          <w:szCs w:val="20"/>
          <w:lang w:val="pt-BR"/>
        </w:rPr>
        <w:t xml:space="preserve">Promulga a Convenção sobre Diversidade Biológica. </w:t>
      </w:r>
      <w:r w:rsidRPr="0083744B">
        <w:rPr>
          <w:rFonts w:ascii="Calibri" w:eastAsia="Calibri" w:hAnsi="Calibri" w:cs="Calibri"/>
          <w:sz w:val="20"/>
          <w:szCs w:val="20"/>
        </w:rPr>
        <w:t xml:space="preserve">Available at &lt;&lt; </w:t>
      </w:r>
      <w:hyperlink r:id="rId3" w:history="1">
        <w:r w:rsidRPr="0083744B">
          <w:rPr>
            <w:rStyle w:val="Hyperlink"/>
            <w:rFonts w:ascii="Calibri" w:eastAsia="Calibri" w:hAnsi="Calibri" w:cs="Calibri"/>
            <w:sz w:val="20"/>
            <w:szCs w:val="20"/>
          </w:rPr>
          <w:t>http://www.planalto.gov.br/ccivil_03/decreto/d2519.htm</w:t>
        </w:r>
      </w:hyperlink>
      <w:r w:rsidRPr="0083744B">
        <w:rPr>
          <w:rFonts w:ascii="Calibri" w:eastAsia="Calibri" w:hAnsi="Calibri" w:cs="Calibri"/>
          <w:sz w:val="20"/>
          <w:szCs w:val="20"/>
        </w:rPr>
        <w:t xml:space="preserve"> &gt;&gt;. Link check on 26/10/2022</w:t>
      </w:r>
    </w:p>
  </w:endnote>
  <w:endnote w:id="5">
    <w:p w14:paraId="3E191E35" w14:textId="37087CD8" w:rsidR="00271D67" w:rsidRPr="002202DB" w:rsidRDefault="00271D67" w:rsidP="002202DB">
      <w:pPr>
        <w:spacing w:after="0" w:line="257" w:lineRule="auto"/>
        <w:rPr>
          <w:rFonts w:ascii="Calibri" w:eastAsia="Calibri" w:hAnsi="Calibri" w:cs="Calibri"/>
          <w:sz w:val="20"/>
          <w:szCs w:val="20"/>
        </w:rPr>
      </w:pPr>
      <w:r>
        <w:rPr>
          <w:rStyle w:val="EndnoteReference"/>
        </w:rPr>
        <w:endnoteRef/>
      </w:r>
      <w:r>
        <w:t xml:space="preserve"> </w:t>
      </w:r>
      <w:r w:rsidRPr="0083744B">
        <w:rPr>
          <w:rFonts w:ascii="Calibri" w:eastAsia="Calibri" w:hAnsi="Calibri" w:cs="Calibri"/>
          <w:sz w:val="20"/>
          <w:szCs w:val="20"/>
        </w:rPr>
        <w:t xml:space="preserve">Convention on Biological Diversity. List of Parties. Available at &lt;&lt; </w:t>
      </w:r>
      <w:hyperlink r:id="rId4" w:history="1">
        <w:r w:rsidRPr="0083744B">
          <w:rPr>
            <w:rStyle w:val="Hyperlink"/>
            <w:rFonts w:ascii="Calibri" w:eastAsia="Calibri" w:hAnsi="Calibri" w:cs="Calibri"/>
            <w:sz w:val="20"/>
            <w:szCs w:val="20"/>
          </w:rPr>
          <w:t>https://www.cbd.int/information/parties.shtml</w:t>
        </w:r>
      </w:hyperlink>
      <w:r w:rsidRPr="0083744B">
        <w:rPr>
          <w:rFonts w:ascii="Calibri" w:eastAsia="Calibri" w:hAnsi="Calibri" w:cs="Calibri"/>
          <w:sz w:val="20"/>
          <w:szCs w:val="20"/>
        </w:rPr>
        <w:t xml:space="preserve"> &gt;&gt;. Link checked on 26/10/2022</w:t>
      </w:r>
    </w:p>
  </w:endnote>
  <w:endnote w:id="6">
    <w:p w14:paraId="7556864C" w14:textId="387F91A6" w:rsidR="00271D67" w:rsidRPr="004367C8" w:rsidRDefault="00271D67" w:rsidP="002202DB">
      <w:pPr>
        <w:pStyle w:val="EndnoteText"/>
      </w:pPr>
      <w:r>
        <w:rPr>
          <w:rStyle w:val="EndnoteReference"/>
        </w:rPr>
        <w:endnoteRef/>
      </w:r>
      <w:r>
        <w:t xml:space="preserve"> </w:t>
      </w:r>
      <w:r w:rsidRPr="0083744B">
        <w:rPr>
          <w:rFonts w:ascii="Calibri" w:eastAsia="Calibri" w:hAnsi="Calibri" w:cs="Calibri"/>
        </w:rPr>
        <w:t xml:space="preserve">Provisional Measure No. 2,186-16, of August 23, 2001. Available at &lt;&lt; </w:t>
      </w:r>
      <w:hyperlink r:id="rId5" w:history="1">
        <w:r w:rsidRPr="0083744B">
          <w:rPr>
            <w:rStyle w:val="Hyperlink"/>
            <w:rFonts w:ascii="Calibri" w:eastAsia="Calibri" w:hAnsi="Calibri" w:cs="Calibri"/>
          </w:rPr>
          <w:t>http://www.planalto.gov.br/ccivil_03/MPV/2186-16.htm</w:t>
        </w:r>
      </w:hyperlink>
      <w:r w:rsidRPr="0083744B">
        <w:rPr>
          <w:rFonts w:ascii="Calibri" w:eastAsia="Calibri" w:hAnsi="Calibri" w:cs="Calibri"/>
        </w:rPr>
        <w:t xml:space="preserve">  &gt;&gt; Link checked on 28/09/2022.</w:t>
      </w:r>
    </w:p>
  </w:endnote>
  <w:endnote w:id="7">
    <w:p w14:paraId="2FAFCA42" w14:textId="2B5A925D" w:rsidR="00271D67" w:rsidRPr="004367C8" w:rsidRDefault="00271D67">
      <w:pPr>
        <w:pStyle w:val="EndnoteText"/>
      </w:pPr>
      <w:r>
        <w:rPr>
          <w:rStyle w:val="EndnoteReference"/>
        </w:rPr>
        <w:endnoteRef/>
      </w:r>
      <w:r>
        <w:t xml:space="preserve"> </w:t>
      </w:r>
      <w:r w:rsidRPr="0083744B">
        <w:rPr>
          <w:rFonts w:ascii="Calibri" w:eastAsia="Calibri" w:hAnsi="Calibri" w:cs="Calibri"/>
        </w:rPr>
        <w:t xml:space="preserve">Law No. 13,123, of May 20, 2015 on Brazilian ABS. Available at &lt;&lt; </w:t>
      </w:r>
      <w:hyperlink r:id="rId6" w:history="1">
        <w:r w:rsidRPr="0083744B">
          <w:rPr>
            <w:rStyle w:val="Hyperlink"/>
            <w:rFonts w:ascii="Calibri" w:eastAsia="Calibri" w:hAnsi="Calibri" w:cs="Calibri"/>
          </w:rPr>
          <w:t>http://www.planalto.gov.br/CCIVIL_03/_Ato2015-2018/2015/Lei/L13123.htm</w:t>
        </w:r>
      </w:hyperlink>
      <w:r w:rsidRPr="0083744B">
        <w:rPr>
          <w:rFonts w:ascii="Calibri" w:eastAsia="Calibri" w:hAnsi="Calibri" w:cs="Calibri"/>
        </w:rPr>
        <w:t xml:space="preserve"> &gt;&gt; Link checked on 28/09/2022.</w:t>
      </w:r>
    </w:p>
  </w:endnote>
  <w:endnote w:id="8">
    <w:p w14:paraId="3405D6AE" w14:textId="28872F6C" w:rsidR="00271D67" w:rsidRPr="005715F7" w:rsidRDefault="00271D67" w:rsidP="002202DB">
      <w:pPr>
        <w:spacing w:after="0" w:line="257" w:lineRule="auto"/>
      </w:pPr>
      <w:r>
        <w:rPr>
          <w:rStyle w:val="EndnoteReference"/>
        </w:rPr>
        <w:endnoteRef/>
      </w:r>
      <w:r>
        <w:t xml:space="preserve"> </w:t>
      </w:r>
      <w:r w:rsidRPr="0083744B">
        <w:rPr>
          <w:rFonts w:ascii="Calibri" w:eastAsia="Calibri" w:hAnsi="Calibri" w:cs="Calibri"/>
          <w:sz w:val="20"/>
          <w:szCs w:val="20"/>
        </w:rPr>
        <w:t xml:space="preserve">The Brazilian online National ABS Management System – SisGen Available at &lt;&lt; </w:t>
      </w:r>
      <w:hyperlink r:id="rId7" w:history="1">
        <w:r w:rsidRPr="0083744B">
          <w:rPr>
            <w:rStyle w:val="Hyperlink"/>
            <w:rFonts w:ascii="Calibri" w:eastAsia="Calibri" w:hAnsi="Calibri" w:cs="Calibri"/>
          </w:rPr>
          <w:t>https://sisgen.gov.br/paginas/login.aspx</w:t>
        </w:r>
      </w:hyperlink>
      <w:r w:rsidRPr="0083744B">
        <w:rPr>
          <w:rFonts w:ascii="Calibri" w:eastAsia="Calibri" w:hAnsi="Calibri" w:cs="Calibri"/>
          <w:sz w:val="20"/>
          <w:szCs w:val="20"/>
        </w:rPr>
        <w:t xml:space="preserve"> &gt;&gt; </w:t>
      </w:r>
      <w:r w:rsidRPr="0083744B">
        <w:rPr>
          <w:rFonts w:ascii="Calibri" w:eastAsia="Calibri" w:hAnsi="Calibri" w:cs="Calibri"/>
        </w:rPr>
        <w:t xml:space="preserve">Link checked on </w:t>
      </w:r>
      <w:r w:rsidRPr="0083744B">
        <w:rPr>
          <w:rFonts w:ascii="Calibri" w:eastAsia="Calibri" w:hAnsi="Calibri" w:cs="Calibri"/>
          <w:sz w:val="20"/>
          <w:szCs w:val="20"/>
        </w:rPr>
        <w:t>30/10/2022</w:t>
      </w:r>
    </w:p>
  </w:endnote>
  <w:endnote w:id="9">
    <w:p w14:paraId="0D0628BD" w14:textId="3CAB0710" w:rsidR="00271D67" w:rsidRPr="005715F7" w:rsidRDefault="00271D67" w:rsidP="002202DB">
      <w:pPr>
        <w:pStyle w:val="EndnoteText"/>
      </w:pPr>
      <w:r>
        <w:rPr>
          <w:rStyle w:val="EndnoteReference"/>
        </w:rPr>
        <w:endnoteRef/>
      </w:r>
      <w:r>
        <w:t xml:space="preserve"> </w:t>
      </w:r>
      <w:r w:rsidRPr="0083744B">
        <w:rPr>
          <w:rFonts w:ascii="Calibri" w:eastAsia="Calibri" w:hAnsi="Calibri" w:cs="Calibri"/>
        </w:rPr>
        <w:t xml:space="preserve">The Brazilian Regulatory Decree No. 8,772, of May 11, 2016. &lt;&lt; </w:t>
      </w:r>
      <w:hyperlink r:id="rId8" w:history="1">
        <w:r w:rsidRPr="0083744B">
          <w:rPr>
            <w:rStyle w:val="Hyperlink"/>
            <w:rFonts w:ascii="Calibri" w:eastAsia="Calibri" w:hAnsi="Calibri" w:cs="Calibri"/>
          </w:rPr>
          <w:t>http://www.planalto.gov.br/ccivil_03/_ato2015-2018/2016/decreto/d8772.htm</w:t>
        </w:r>
      </w:hyperlink>
      <w:r w:rsidRPr="0083744B">
        <w:rPr>
          <w:rFonts w:ascii="Calibri" w:eastAsia="Calibri" w:hAnsi="Calibri" w:cs="Calibri"/>
        </w:rPr>
        <w:t xml:space="preserve">  &gt;&gt; Link checked on 30/10/2022.</w:t>
      </w:r>
    </w:p>
  </w:endnote>
  <w:endnote w:id="10">
    <w:p w14:paraId="4C8159C5" w14:textId="59A98DE8" w:rsidR="00271D67" w:rsidRPr="005715F7" w:rsidRDefault="00271D67">
      <w:pPr>
        <w:pStyle w:val="EndnoteText"/>
      </w:pPr>
      <w:r>
        <w:rPr>
          <w:rStyle w:val="EndnoteReference"/>
        </w:rPr>
        <w:endnoteRef/>
      </w:r>
      <w:r>
        <w:t xml:space="preserve"> </w:t>
      </w:r>
      <w:r w:rsidRPr="0083744B">
        <w:rPr>
          <w:rFonts w:ascii="Calibri" w:eastAsia="Calibri" w:hAnsi="Calibri" w:cs="Calibri"/>
        </w:rPr>
        <w:t xml:space="preserve">The Brazilian Law on Access to Information. Available at &lt;&lt; </w:t>
      </w:r>
      <w:hyperlink r:id="rId9" w:history="1">
        <w:r w:rsidRPr="0083744B">
          <w:rPr>
            <w:rStyle w:val="Hyperlink"/>
            <w:rFonts w:ascii="Calibri" w:eastAsia="Calibri" w:hAnsi="Calibri" w:cs="Calibri"/>
          </w:rPr>
          <w:t>http://www.planalto.gov.br/ccivil_03/_ato2011-2014/2011/lei/l12527.htm</w:t>
        </w:r>
      </w:hyperlink>
      <w:r w:rsidRPr="0083744B">
        <w:rPr>
          <w:rFonts w:ascii="Calibri" w:eastAsia="Calibri" w:hAnsi="Calibri" w:cs="Calibri"/>
        </w:rPr>
        <w:t xml:space="preserve">  &gt;&gt; Link checked on 22/09/2022.</w:t>
      </w:r>
    </w:p>
  </w:endnote>
  <w:endnote w:id="11">
    <w:p w14:paraId="3645F056" w14:textId="77777777" w:rsidR="00E60EF9" w:rsidRPr="00D6162C" w:rsidRDefault="00E60EF9" w:rsidP="00E60EF9">
      <w:pPr>
        <w:pStyle w:val="EndnoteText"/>
      </w:pPr>
      <w:r>
        <w:rPr>
          <w:rStyle w:val="EndnoteReference"/>
        </w:rPr>
        <w:endnoteRef/>
      </w:r>
      <w:r>
        <w:t xml:space="preserve"> </w:t>
      </w:r>
      <w:r w:rsidRPr="0083744B">
        <w:rPr>
          <w:rFonts w:ascii="Calibri" w:eastAsia="Calibri" w:hAnsi="Calibri" w:cs="Calibri"/>
        </w:rPr>
        <w:t xml:space="preserve">Brazilian Federal Government Transparency Portal. Available at &lt;&lt; </w:t>
      </w:r>
      <w:hyperlink r:id="rId10" w:history="1">
        <w:r w:rsidRPr="0083744B">
          <w:rPr>
            <w:rStyle w:val="Hyperlink"/>
            <w:rFonts w:ascii="Calibri" w:eastAsia="Calibri" w:hAnsi="Calibri" w:cs="Calibri"/>
          </w:rPr>
          <w:t>https://www.portaltransparencia.gov.br/</w:t>
        </w:r>
      </w:hyperlink>
      <w:r w:rsidRPr="0083744B">
        <w:rPr>
          <w:rFonts w:ascii="Calibri" w:eastAsia="Calibri" w:hAnsi="Calibri" w:cs="Calibri"/>
        </w:rPr>
        <w:t xml:space="preserve"> &gt;&gt; Link checked on 18/10/2022</w:t>
      </w:r>
    </w:p>
  </w:endnote>
  <w:endnote w:id="12">
    <w:p w14:paraId="3421E5BD" w14:textId="77777777" w:rsidR="00E60EF9" w:rsidRPr="00D6162C" w:rsidRDefault="00E60EF9" w:rsidP="00E60EF9">
      <w:pPr>
        <w:pStyle w:val="EndnoteText"/>
      </w:pPr>
      <w:r>
        <w:rPr>
          <w:rStyle w:val="EndnoteReference"/>
        </w:rPr>
        <w:endnoteRef/>
      </w:r>
      <w:r>
        <w:t xml:space="preserve"> </w:t>
      </w:r>
      <w:r w:rsidRPr="0083744B">
        <w:rPr>
          <w:rFonts w:ascii="Calibri" w:eastAsia="Calibri" w:hAnsi="Calibri" w:cs="Calibri"/>
        </w:rPr>
        <w:t xml:space="preserve">CBD Status of Contributions. Available at &lt;&lt; </w:t>
      </w:r>
      <w:hyperlink r:id="rId11" w:history="1">
        <w:r w:rsidRPr="0083744B">
          <w:rPr>
            <w:rStyle w:val="Hyperlink"/>
            <w:rFonts w:ascii="Calibri" w:eastAsia="Calibri" w:hAnsi="Calibri" w:cs="Calibri"/>
          </w:rPr>
          <w:t>https://www.cbd.int/convention/parties/contributions.shtml</w:t>
        </w:r>
      </w:hyperlink>
      <w:r w:rsidRPr="0083744B">
        <w:rPr>
          <w:rFonts w:ascii="Calibri" w:eastAsia="Calibri" w:hAnsi="Calibri" w:cs="Calibri"/>
        </w:rPr>
        <w:t xml:space="preserve">  &gt;&gt; Link checked on 18/10/2022</w:t>
      </w:r>
    </w:p>
  </w:endnote>
  <w:endnote w:id="13">
    <w:p w14:paraId="0F7E58B3" w14:textId="7393144E" w:rsidR="00271D67" w:rsidRPr="007425C7" w:rsidRDefault="00271D67">
      <w:pPr>
        <w:pStyle w:val="EndnoteText"/>
      </w:pPr>
      <w:r>
        <w:rPr>
          <w:rStyle w:val="EndnoteReference"/>
        </w:rPr>
        <w:endnoteRef/>
      </w:r>
      <w:r>
        <w:t xml:space="preserve"> </w:t>
      </w:r>
      <w:r w:rsidRPr="0083744B">
        <w:rPr>
          <w:rFonts w:ascii="Calibri" w:eastAsia="Calibri" w:hAnsi="Calibri" w:cs="Calibri"/>
        </w:rPr>
        <w:t xml:space="preserve">How to do a cost-benefit analysis &amp; why it’s important. Tim Stobierski. 05 SEP 2019. Harvard Business School. Business Insights. Available at &lt;&lt; </w:t>
      </w:r>
      <w:hyperlink r:id="rId12" w:history="1">
        <w:r w:rsidRPr="0083744B">
          <w:rPr>
            <w:rStyle w:val="Hyperlink"/>
            <w:rFonts w:ascii="Calibri" w:eastAsia="Calibri" w:hAnsi="Calibri" w:cs="Calibri"/>
          </w:rPr>
          <w:t>https://online.hbs.edu/blog/post/cost-benefit-analysis</w:t>
        </w:r>
      </w:hyperlink>
      <w:r w:rsidRPr="0083744B">
        <w:rPr>
          <w:rFonts w:ascii="Calibri" w:eastAsia="Calibri" w:hAnsi="Calibri" w:cs="Calibri"/>
        </w:rPr>
        <w:t xml:space="preserve">   &gt;&gt; Link checked on 10.102022</w:t>
      </w:r>
    </w:p>
  </w:endnote>
  <w:endnote w:id="14">
    <w:p w14:paraId="3FA06877" w14:textId="31BB675F" w:rsidR="00271D67" w:rsidRPr="00902E18" w:rsidRDefault="00271D67">
      <w:pPr>
        <w:pStyle w:val="EndnoteText"/>
      </w:pPr>
      <w:r>
        <w:rPr>
          <w:rStyle w:val="EndnoteReference"/>
        </w:rPr>
        <w:endnoteRef/>
      </w:r>
      <w:r>
        <w:t xml:space="preserve"> </w:t>
      </w:r>
      <w:r w:rsidRPr="002202DB">
        <w:rPr>
          <w:rFonts w:ascii="Calibri" w:eastAsia="Calibri" w:hAnsi="Calibri" w:cs="Calibri"/>
        </w:rPr>
        <w:t xml:space="preserve">Cost-Benefit Analysis. Available at &lt;&lt; </w:t>
      </w:r>
      <w:hyperlink r:id="rId13" w:history="1">
        <w:r w:rsidRPr="00567583">
          <w:rPr>
            <w:rStyle w:val="Hyperlink"/>
            <w:rFonts w:ascii="Calibri" w:eastAsia="Calibri" w:hAnsi="Calibri" w:cs="Calibri"/>
          </w:rPr>
          <w:t>https://www.foreffectivegov.org/node/3470</w:t>
        </w:r>
      </w:hyperlink>
      <w:r w:rsidRPr="00567583">
        <w:rPr>
          <w:rFonts w:ascii="Calibri" w:eastAsia="Calibri" w:hAnsi="Calibri" w:cs="Calibri"/>
          <w:color w:val="FF0000"/>
        </w:rPr>
        <w:t xml:space="preserve"> </w:t>
      </w:r>
      <w:r w:rsidRPr="002202DB">
        <w:rPr>
          <w:rFonts w:ascii="Calibri" w:eastAsia="Calibri" w:hAnsi="Calibri" w:cs="Calibri"/>
        </w:rPr>
        <w:t>&gt;&gt;. Link check on 02/09/2022</w:t>
      </w:r>
    </w:p>
  </w:endnote>
  <w:endnote w:id="15">
    <w:p w14:paraId="1D8C86AC" w14:textId="519AF855" w:rsidR="00271D67" w:rsidRPr="007E3162" w:rsidRDefault="00271D67">
      <w:pPr>
        <w:pStyle w:val="EndnoteText"/>
      </w:pPr>
      <w:r>
        <w:rPr>
          <w:rStyle w:val="EndnoteReference"/>
        </w:rPr>
        <w:endnoteRef/>
      </w:r>
      <w:r>
        <w:t xml:space="preserve"> </w:t>
      </w:r>
      <w:r w:rsidRPr="54D28F68">
        <w:rPr>
          <w:rFonts w:ascii="Calibri" w:eastAsia="Calibri" w:hAnsi="Calibri" w:cs="Calibri"/>
          <w:lang w:val="en"/>
        </w:rPr>
        <w:t xml:space="preserve">Brazilian Supreme Court.  RE 870947. Available at </w:t>
      </w:r>
      <w:r w:rsidRPr="0083744B">
        <w:rPr>
          <w:rFonts w:ascii="Calibri" w:eastAsia="Calibri" w:hAnsi="Calibri" w:cs="Calibri"/>
        </w:rPr>
        <w:t xml:space="preserve">&lt;&lt; </w:t>
      </w:r>
      <w:hyperlink r:id="rId14" w:history="1">
        <w:r w:rsidRPr="0083744B">
          <w:rPr>
            <w:rStyle w:val="Hyperlink"/>
            <w:rFonts w:ascii="Calibri" w:eastAsia="Calibri" w:hAnsi="Calibri" w:cs="Calibri"/>
          </w:rPr>
          <w:t>https://portal.stf.jus.br/processos/detalhe.asp?incidente=4723934</w:t>
        </w:r>
      </w:hyperlink>
      <w:r w:rsidRPr="0083744B">
        <w:rPr>
          <w:rFonts w:ascii="Calibri" w:eastAsia="Calibri" w:hAnsi="Calibri" w:cs="Calibri"/>
        </w:rPr>
        <w:t xml:space="preserve">  &gt;&gt; Link checked on 11/10/2022</w:t>
      </w:r>
    </w:p>
  </w:endnote>
  <w:endnote w:id="16">
    <w:p w14:paraId="58B542BA" w14:textId="5E06FDDE" w:rsidR="00271D67" w:rsidRPr="007E3162" w:rsidRDefault="00271D67">
      <w:pPr>
        <w:pStyle w:val="EndnoteText"/>
      </w:pPr>
      <w:r>
        <w:rPr>
          <w:rStyle w:val="EndnoteReference"/>
        </w:rPr>
        <w:endnoteRef/>
      </w:r>
      <w:r>
        <w:t xml:space="preserve"> </w:t>
      </w:r>
      <w:r w:rsidRPr="0083744B">
        <w:rPr>
          <w:rFonts w:ascii="Calibri" w:eastAsia="Calibri" w:hAnsi="Calibri" w:cs="Calibri"/>
        </w:rPr>
        <w:t xml:space="preserve">Brazilian Central Bank </w:t>
      </w:r>
      <w:r w:rsidRPr="54D28F68">
        <w:rPr>
          <w:rFonts w:ascii="Calibri" w:eastAsia="Calibri" w:hAnsi="Calibri" w:cs="Calibri"/>
          <w:lang w:val="en"/>
        </w:rPr>
        <w:t>Citizen Calculator</w:t>
      </w:r>
      <w:r w:rsidRPr="0083744B">
        <w:rPr>
          <w:rFonts w:ascii="Calibri" w:eastAsia="Calibri" w:hAnsi="Calibri" w:cs="Calibri"/>
        </w:rPr>
        <w:t xml:space="preserve">.  Available at &lt;&lt; </w:t>
      </w:r>
      <w:hyperlink r:id="rId15" w:history="1">
        <w:r w:rsidRPr="0083744B">
          <w:rPr>
            <w:rStyle w:val="Hyperlink"/>
            <w:rFonts w:ascii="Calibri" w:eastAsia="Calibri" w:hAnsi="Calibri" w:cs="Calibri"/>
          </w:rPr>
          <w:t>https://www3.bcb.gov.br/CALCIDADAO/publico/exibirFormCorrecaoValores.do?method=exibirFormCorrecaoValores&amp;aba=1</w:t>
        </w:r>
      </w:hyperlink>
      <w:r w:rsidRPr="0083744B">
        <w:rPr>
          <w:rFonts w:ascii="Calibri" w:eastAsia="Calibri" w:hAnsi="Calibri" w:cs="Calibri"/>
        </w:rPr>
        <w:t xml:space="preserve"> &gt;&gt; Link checked on 11/10/2022</w:t>
      </w:r>
    </w:p>
  </w:endnote>
  <w:endnote w:id="17">
    <w:p w14:paraId="1243F00F" w14:textId="693A6B2E" w:rsidR="00271D67" w:rsidRPr="00EC65F8" w:rsidRDefault="00271D67" w:rsidP="001B0121">
      <w:pPr>
        <w:spacing w:after="0" w:line="257" w:lineRule="auto"/>
      </w:pPr>
      <w:r>
        <w:rPr>
          <w:rStyle w:val="EndnoteReference"/>
        </w:rPr>
        <w:endnoteRef/>
      </w:r>
      <w:r w:rsidRPr="00B13364">
        <w:rPr>
          <w:lang w:val="pt-BR"/>
        </w:rPr>
        <w:t xml:space="preserve"> </w:t>
      </w:r>
      <w:r w:rsidRPr="00B13364">
        <w:rPr>
          <w:rFonts w:ascii="Calibri" w:eastAsia="Calibri" w:hAnsi="Calibri" w:cs="Calibri"/>
          <w:lang w:val="pt-BR"/>
        </w:rPr>
        <w:t xml:space="preserve">Qual a definição de micro e pequena empresa? </w:t>
      </w:r>
      <w:r w:rsidRPr="008F12E7">
        <w:rPr>
          <w:rFonts w:ascii="Calibri" w:eastAsia="Calibri" w:hAnsi="Calibri" w:cs="Calibri"/>
        </w:rPr>
        <w:t>Available at &lt;&lt;</w:t>
      </w:r>
      <w:r w:rsidRPr="008F12E7">
        <w:t xml:space="preserve"> </w:t>
      </w:r>
      <w:hyperlink r:id="rId16" w:anchor=":~:text=Pequena%20empresa%3A%20empresa%20que%20t%C3%AAm,a%2099%20pessoas%20na%20ind%C3%BAstria" w:history="1">
        <w:r w:rsidRPr="00E64E6B">
          <w:rPr>
            <w:rStyle w:val="Hyperlink"/>
            <w:rFonts w:ascii="Calibri" w:eastAsia="Calibri" w:hAnsi="Calibri" w:cs="Calibri"/>
          </w:rPr>
          <w:t>https://www.portaldaindustria.com.br/industria-de-a-z/micro-e-pequena-empresa/#:~:text=Pequena%20empresa%3A%20empresa%20que%20t%C3%AAm,a%2099%20pessoas%20na%20ind%C3%BAstria</w:t>
        </w:r>
      </w:hyperlink>
      <w:r>
        <w:rPr>
          <w:rFonts w:ascii="Calibri" w:eastAsia="Calibri" w:hAnsi="Calibri" w:cs="Calibri"/>
        </w:rPr>
        <w:t xml:space="preserve"> &gt;&gt; Link checked on 28/10/2022</w:t>
      </w:r>
    </w:p>
  </w:endnote>
  <w:endnote w:id="18">
    <w:p w14:paraId="04D83BDC" w14:textId="3F5D8B62" w:rsidR="00271D67" w:rsidRPr="00B13364" w:rsidRDefault="00271D67" w:rsidP="001B0121">
      <w:pPr>
        <w:pStyle w:val="EndnoteText"/>
      </w:pPr>
      <w:r>
        <w:rPr>
          <w:rStyle w:val="EndnoteReference"/>
        </w:rPr>
        <w:endnoteRef/>
      </w:r>
      <w:r w:rsidRPr="00B13364">
        <w:rPr>
          <w:lang w:val="pt-BR"/>
        </w:rPr>
        <w:t xml:space="preserve"> </w:t>
      </w:r>
      <w:r w:rsidRPr="00752D3D">
        <w:rPr>
          <w:rFonts w:ascii="Calibri" w:eastAsia="Calibri" w:hAnsi="Calibri" w:cs="Calibri"/>
          <w:lang w:val="pt-BR"/>
        </w:rPr>
        <w:t xml:space="preserve">Banco Nacional de Desenvolvimento Econômico e Social (BNDES). </w:t>
      </w:r>
      <w:r w:rsidRPr="0083744B">
        <w:rPr>
          <w:rFonts w:ascii="Calibri" w:eastAsia="Calibri" w:hAnsi="Calibri" w:cs="Calibri"/>
        </w:rPr>
        <w:t xml:space="preserve">Available at &lt;&lt; </w:t>
      </w:r>
      <w:hyperlink r:id="rId17" w:history="1">
        <w:r w:rsidRPr="0083744B">
          <w:rPr>
            <w:rStyle w:val="Hyperlink"/>
            <w:rFonts w:ascii="Calibri" w:eastAsia="Calibri" w:hAnsi="Calibri" w:cs="Calibri"/>
          </w:rPr>
          <w:t>https://www.bndes.gov.br/wps/portal/site/home</w:t>
        </w:r>
      </w:hyperlink>
      <w:r w:rsidRPr="0083744B">
        <w:rPr>
          <w:rFonts w:ascii="Calibri" w:eastAsia="Calibri" w:hAnsi="Calibri" w:cs="Calibri"/>
        </w:rPr>
        <w:t xml:space="preserve"> &gt;&gt; Link checked on 08/11/2022.</w:t>
      </w:r>
    </w:p>
  </w:endnote>
  <w:endnote w:id="19">
    <w:p w14:paraId="754720AF" w14:textId="13BADAB2" w:rsidR="00271D67" w:rsidRPr="00586EFF" w:rsidRDefault="00271D67" w:rsidP="00123BB6">
      <w:pPr>
        <w:spacing w:after="0" w:line="257" w:lineRule="auto"/>
      </w:pPr>
      <w:r>
        <w:rPr>
          <w:rStyle w:val="EndnoteReference"/>
        </w:rPr>
        <w:endnoteRef/>
      </w:r>
      <w:r>
        <w:t xml:space="preserve"> </w:t>
      </w:r>
      <w:r w:rsidRPr="0083744B">
        <w:rPr>
          <w:rFonts w:ascii="Calibri" w:eastAsia="Calibri" w:hAnsi="Calibri" w:cs="Calibri"/>
          <w:sz w:val="20"/>
          <w:szCs w:val="20"/>
        </w:rPr>
        <w:t xml:space="preserve">Data Sebrae Portal. Available at  &lt;&lt; </w:t>
      </w:r>
      <w:hyperlink r:id="rId18" w:anchor="/Empresas" w:history="1">
        <w:r w:rsidRPr="0083744B">
          <w:rPr>
            <w:rStyle w:val="Hyperlink"/>
            <w:rFonts w:ascii="Calibri" w:eastAsia="Calibri" w:hAnsi="Calibri" w:cs="Calibri"/>
            <w:sz w:val="20"/>
            <w:szCs w:val="20"/>
          </w:rPr>
          <w:t>https://datasebraeindicadores.sebrae.com.br/resources/sites/data-sebrae/data-sebrae.html#/Empresas</w:t>
        </w:r>
      </w:hyperlink>
      <w:r w:rsidRPr="0083744B">
        <w:rPr>
          <w:rFonts w:ascii="Calibri" w:eastAsia="Calibri" w:hAnsi="Calibri" w:cs="Calibri"/>
          <w:sz w:val="20"/>
          <w:szCs w:val="20"/>
        </w:rPr>
        <w:t xml:space="preserve"> &gt;&gt; Link checked on 09/11/2022.</w:t>
      </w:r>
    </w:p>
  </w:endnote>
  <w:endnote w:id="20">
    <w:p w14:paraId="2112F1FA" w14:textId="77777777" w:rsidR="00D41538" w:rsidRPr="00FC3A00" w:rsidRDefault="00D41538" w:rsidP="00D41538">
      <w:pPr>
        <w:pStyle w:val="EndnoteText"/>
      </w:pPr>
      <w:r>
        <w:rPr>
          <w:rStyle w:val="EndnoteReference"/>
        </w:rPr>
        <w:endnoteRef/>
      </w:r>
      <w:r w:rsidRPr="00FC3A00">
        <w:rPr>
          <w:lang w:val="pt-BR"/>
        </w:rPr>
        <w:t xml:space="preserve"> </w:t>
      </w:r>
      <w:r w:rsidRPr="00752D3D">
        <w:rPr>
          <w:rFonts w:ascii="Calibri" w:eastAsia="Calibri" w:hAnsi="Calibri" w:cs="Calibri"/>
          <w:lang w:val="pt-BR"/>
        </w:rPr>
        <w:t xml:space="preserve">Decreto 5.495/2005. Regulamenta o art. 30 da Medida Provisória nº 2.186-16, de 23 de agosto de 2001, disciplinando as sanções aplicáveis às condutas e atividades lesivas ao patrimônio genético ou ao conhecimento tradicional associado. </w:t>
      </w:r>
      <w:r w:rsidRPr="0083744B">
        <w:rPr>
          <w:rFonts w:ascii="Calibri" w:eastAsia="Calibri" w:hAnsi="Calibri" w:cs="Calibri"/>
        </w:rPr>
        <w:t xml:space="preserve">Available at &lt;&lt; </w:t>
      </w:r>
      <w:hyperlink r:id="rId19" w:history="1">
        <w:r w:rsidRPr="0083744B">
          <w:rPr>
            <w:rStyle w:val="Hyperlink"/>
            <w:rFonts w:ascii="Calibri" w:eastAsia="Calibri" w:hAnsi="Calibri" w:cs="Calibri"/>
          </w:rPr>
          <w:t>http://www.planalto.gov.br/ccivil_03/_ato2004-2006/2005/decreto/D5459impressao.htm</w:t>
        </w:r>
      </w:hyperlink>
      <w:r w:rsidRPr="0083744B">
        <w:rPr>
          <w:rFonts w:ascii="Calibri" w:eastAsia="Calibri" w:hAnsi="Calibri" w:cs="Calibri"/>
        </w:rPr>
        <w:t xml:space="preserve">  &gt;&gt; Link checked on 18/10/2022</w:t>
      </w:r>
    </w:p>
  </w:endnote>
  <w:endnote w:id="21">
    <w:p w14:paraId="6ED9B977" w14:textId="0301186A" w:rsidR="00D41538" w:rsidRDefault="00D41538" w:rsidP="00D41538">
      <w:pPr>
        <w:pStyle w:val="EndnoteText"/>
        <w:rPr>
          <w:rFonts w:ascii="Calibri" w:eastAsia="Calibri" w:hAnsi="Calibri" w:cs="Calibri"/>
        </w:rPr>
      </w:pPr>
      <w:r>
        <w:rPr>
          <w:rStyle w:val="EndnoteReference"/>
        </w:rPr>
        <w:endnoteRef/>
      </w:r>
      <w:r w:rsidRPr="00FC3A00">
        <w:rPr>
          <w:lang w:val="pt-BR"/>
        </w:rPr>
        <w:t xml:space="preserve"> </w:t>
      </w:r>
      <w:r w:rsidRPr="00752D3D">
        <w:rPr>
          <w:rFonts w:ascii="Calibri" w:eastAsia="Calibri" w:hAnsi="Calibri" w:cs="Calibri"/>
          <w:lang w:val="pt-BR"/>
        </w:rPr>
        <w:t xml:space="preserve">Acesso à biodiversidade no âmbito do PL 2177/2011 – Código Nacional de Ciência e Tecnologia”, 2013. </w:t>
      </w:r>
      <w:r w:rsidRPr="009E2CEE">
        <w:rPr>
          <w:rFonts w:ascii="Calibri" w:eastAsia="Calibri" w:hAnsi="Calibri" w:cs="Calibri"/>
        </w:rPr>
        <w:t xml:space="preserve">Available at </w:t>
      </w:r>
      <w:r w:rsidRPr="006465B3">
        <w:rPr>
          <w:rFonts w:ascii="Calibri" w:eastAsia="Calibri" w:hAnsi="Calibri" w:cs="Calibri"/>
        </w:rPr>
        <w:t xml:space="preserve">&lt;&lt; </w:t>
      </w:r>
      <w:hyperlink r:id="rId20" w:history="1">
        <w:r w:rsidRPr="006465B3">
          <w:rPr>
            <w:rStyle w:val="Hyperlink"/>
            <w:rFonts w:ascii="Calibri" w:eastAsia="Calibri" w:hAnsi="Calibri" w:cs="Calibri"/>
          </w:rPr>
          <w:t>https://www2.camara.leg.br/atividade-legislativa/comissoes/comissoes-temporarias/especiais/54alegislatura/pl-2177-11-codigo-nacional-ciencia-e-tecnologia/audienciaspublicas/apresentacao-ibama-henrique-varejao</w:t>
        </w:r>
      </w:hyperlink>
      <w:r w:rsidRPr="006465B3">
        <w:rPr>
          <w:rFonts w:ascii="Calibri" w:eastAsia="Calibri" w:hAnsi="Calibri" w:cs="Calibri"/>
        </w:rPr>
        <w:t xml:space="preserve"> &gt;&gt; Link checked on 18/10/2022.</w:t>
      </w:r>
    </w:p>
    <w:p w14:paraId="5C123C99" w14:textId="42ABAC3A" w:rsidR="00123BB6" w:rsidRDefault="00123BB6" w:rsidP="00D41538">
      <w:pPr>
        <w:pStyle w:val="EndnoteText"/>
        <w:rPr>
          <w:rFonts w:ascii="Calibri" w:eastAsia="Calibri" w:hAnsi="Calibri" w:cs="Calibri"/>
        </w:rPr>
      </w:pPr>
    </w:p>
    <w:p w14:paraId="4EFAF41A" w14:textId="0C736AC8" w:rsidR="00123BB6" w:rsidRDefault="00123BB6" w:rsidP="00D41538">
      <w:pPr>
        <w:pStyle w:val="EndnoteText"/>
        <w:rPr>
          <w:rFonts w:ascii="Calibri" w:eastAsia="Calibri" w:hAnsi="Calibri" w:cs="Calibri"/>
        </w:rPr>
      </w:pPr>
    </w:p>
    <w:p w14:paraId="0357AA99" w14:textId="77777777" w:rsidR="00123BB6" w:rsidRPr="00123BB6" w:rsidRDefault="00123BB6" w:rsidP="00123BB6">
      <w:pPr>
        <w:pStyle w:val="EndnoteText"/>
        <w:rPr>
          <w:b/>
          <w:bCs/>
          <w:sz w:val="22"/>
          <w:szCs w:val="22"/>
        </w:rPr>
      </w:pPr>
      <w:r w:rsidRPr="00123BB6">
        <w:rPr>
          <w:b/>
          <w:bCs/>
          <w:sz w:val="22"/>
          <w:szCs w:val="22"/>
        </w:rPr>
        <w:t xml:space="preserve">APPENDICES  </w:t>
      </w:r>
    </w:p>
    <w:p w14:paraId="553869A7" w14:textId="77777777" w:rsidR="00123BB6" w:rsidRDefault="00123BB6" w:rsidP="00123BB6">
      <w:pPr>
        <w:pStyle w:val="EndnoteText"/>
      </w:pPr>
      <w:r>
        <w:t>A – List of LAI requests</w:t>
      </w:r>
    </w:p>
    <w:p w14:paraId="703A13BB" w14:textId="77777777" w:rsidR="00123BB6" w:rsidRDefault="00123BB6" w:rsidP="00123BB6">
      <w:pPr>
        <w:pStyle w:val="EndnoteText"/>
      </w:pPr>
      <w:r>
        <w:t>B – List of questions to authorities</w:t>
      </w:r>
    </w:p>
    <w:p w14:paraId="7F13E950" w14:textId="6F284724" w:rsidR="00123BB6" w:rsidRDefault="00123BB6" w:rsidP="00123BB6">
      <w:pPr>
        <w:pStyle w:val="EndnoteText"/>
      </w:pPr>
      <w:r>
        <w:t>C – Concepts of Law 13,123/2015 and Regulatory Decree 8.772/2016</w:t>
      </w:r>
    </w:p>
    <w:p w14:paraId="42D42C42" w14:textId="77777777" w:rsidR="00123BB6" w:rsidRPr="006465B3" w:rsidRDefault="00123BB6" w:rsidP="00D4153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badi Extra Light">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11D76" w14:textId="77777777" w:rsidR="008B6E2D" w:rsidRDefault="008B6E2D">
      <w:pPr>
        <w:spacing w:after="0" w:line="240" w:lineRule="auto"/>
      </w:pPr>
      <w:r>
        <w:separator/>
      </w:r>
    </w:p>
  </w:footnote>
  <w:footnote w:type="continuationSeparator" w:id="0">
    <w:p w14:paraId="3DB52FE7" w14:textId="77777777" w:rsidR="008B6E2D" w:rsidRDefault="008B6E2D">
      <w:pPr>
        <w:spacing w:after="0" w:line="240" w:lineRule="auto"/>
      </w:pPr>
      <w:r>
        <w:continuationSeparator/>
      </w:r>
    </w:p>
  </w:footnote>
  <w:footnote w:type="continuationNotice" w:id="1">
    <w:p w14:paraId="4D189C64" w14:textId="77777777" w:rsidR="008B6E2D" w:rsidRDefault="008B6E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92C4F"/>
    <w:multiLevelType w:val="hybridMultilevel"/>
    <w:tmpl w:val="F6B4E94A"/>
    <w:lvl w:ilvl="0" w:tplc="14541AA8">
      <w:start w:val="1"/>
      <w:numFmt w:val="bullet"/>
      <w:lvlText w:val=""/>
      <w:lvlJc w:val="left"/>
      <w:pPr>
        <w:ind w:left="720" w:hanging="360"/>
      </w:pPr>
      <w:rPr>
        <w:rFonts w:ascii="Wingdings" w:hAnsi="Wingdings" w:hint="default"/>
        <w:color w:val="0070C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C780B60"/>
    <w:multiLevelType w:val="multilevel"/>
    <w:tmpl w:val="56D454B4"/>
    <w:lvl w:ilvl="0">
      <w:start w:val="1"/>
      <w:numFmt w:val="decimal"/>
      <w:lvlText w:val="%1."/>
      <w:lvlJc w:val="left"/>
      <w:pPr>
        <w:ind w:left="720" w:hanging="360"/>
      </w:pPr>
      <w:rPr>
        <w:rFonts w:hint="default"/>
        <w:sz w:val="32"/>
        <w:szCs w:val="3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816C62"/>
    <w:multiLevelType w:val="multilevel"/>
    <w:tmpl w:val="950A2A12"/>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A7910D"/>
    <w:multiLevelType w:val="hybridMultilevel"/>
    <w:tmpl w:val="FFFFFFFF"/>
    <w:lvl w:ilvl="0" w:tplc="02969CE2">
      <w:start w:val="1"/>
      <w:numFmt w:val="bullet"/>
      <w:lvlText w:val="§"/>
      <w:lvlJc w:val="left"/>
      <w:pPr>
        <w:ind w:left="720" w:hanging="360"/>
      </w:pPr>
      <w:rPr>
        <w:rFonts w:ascii="Wingdings" w:hAnsi="Wingdings" w:hint="default"/>
      </w:rPr>
    </w:lvl>
    <w:lvl w:ilvl="1" w:tplc="1B8AC2AC">
      <w:start w:val="1"/>
      <w:numFmt w:val="bullet"/>
      <w:lvlText w:val="o"/>
      <w:lvlJc w:val="left"/>
      <w:pPr>
        <w:ind w:left="1440" w:hanging="360"/>
      </w:pPr>
      <w:rPr>
        <w:rFonts w:ascii="Courier New" w:hAnsi="Courier New" w:hint="default"/>
      </w:rPr>
    </w:lvl>
    <w:lvl w:ilvl="2" w:tplc="F8EC27AA">
      <w:start w:val="1"/>
      <w:numFmt w:val="bullet"/>
      <w:lvlText w:val=""/>
      <w:lvlJc w:val="left"/>
      <w:pPr>
        <w:ind w:left="2160" w:hanging="360"/>
      </w:pPr>
      <w:rPr>
        <w:rFonts w:ascii="Wingdings" w:hAnsi="Wingdings" w:hint="default"/>
      </w:rPr>
    </w:lvl>
    <w:lvl w:ilvl="3" w:tplc="E814F380">
      <w:start w:val="1"/>
      <w:numFmt w:val="bullet"/>
      <w:lvlText w:val=""/>
      <w:lvlJc w:val="left"/>
      <w:pPr>
        <w:ind w:left="2880" w:hanging="360"/>
      </w:pPr>
      <w:rPr>
        <w:rFonts w:ascii="Symbol" w:hAnsi="Symbol" w:hint="default"/>
      </w:rPr>
    </w:lvl>
    <w:lvl w:ilvl="4" w:tplc="10F62B02">
      <w:start w:val="1"/>
      <w:numFmt w:val="bullet"/>
      <w:lvlText w:val="o"/>
      <w:lvlJc w:val="left"/>
      <w:pPr>
        <w:ind w:left="3600" w:hanging="360"/>
      </w:pPr>
      <w:rPr>
        <w:rFonts w:ascii="Courier New" w:hAnsi="Courier New" w:hint="default"/>
      </w:rPr>
    </w:lvl>
    <w:lvl w:ilvl="5" w:tplc="43A0CD4C">
      <w:start w:val="1"/>
      <w:numFmt w:val="bullet"/>
      <w:lvlText w:val=""/>
      <w:lvlJc w:val="left"/>
      <w:pPr>
        <w:ind w:left="4320" w:hanging="360"/>
      </w:pPr>
      <w:rPr>
        <w:rFonts w:ascii="Wingdings" w:hAnsi="Wingdings" w:hint="default"/>
      </w:rPr>
    </w:lvl>
    <w:lvl w:ilvl="6" w:tplc="5FDE57E6">
      <w:start w:val="1"/>
      <w:numFmt w:val="bullet"/>
      <w:lvlText w:val=""/>
      <w:lvlJc w:val="left"/>
      <w:pPr>
        <w:ind w:left="5040" w:hanging="360"/>
      </w:pPr>
      <w:rPr>
        <w:rFonts w:ascii="Symbol" w:hAnsi="Symbol" w:hint="default"/>
      </w:rPr>
    </w:lvl>
    <w:lvl w:ilvl="7" w:tplc="97AE76CA">
      <w:start w:val="1"/>
      <w:numFmt w:val="bullet"/>
      <w:lvlText w:val="o"/>
      <w:lvlJc w:val="left"/>
      <w:pPr>
        <w:ind w:left="5760" w:hanging="360"/>
      </w:pPr>
      <w:rPr>
        <w:rFonts w:ascii="Courier New" w:hAnsi="Courier New" w:hint="default"/>
      </w:rPr>
    </w:lvl>
    <w:lvl w:ilvl="8" w:tplc="C7F0C87E">
      <w:start w:val="1"/>
      <w:numFmt w:val="bullet"/>
      <w:lvlText w:val=""/>
      <w:lvlJc w:val="left"/>
      <w:pPr>
        <w:ind w:left="6480" w:hanging="360"/>
      </w:pPr>
      <w:rPr>
        <w:rFonts w:ascii="Wingdings" w:hAnsi="Wingdings" w:hint="default"/>
      </w:rPr>
    </w:lvl>
  </w:abstractNum>
  <w:abstractNum w:abstractNumId="4" w15:restartNumberingAfterBreak="0">
    <w:nsid w:val="1EB541EE"/>
    <w:multiLevelType w:val="multilevel"/>
    <w:tmpl w:val="D20A57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lvlText w:val="%1.%2.%3."/>
      <w:lvlJc w:val="left"/>
      <w:pPr>
        <w:ind w:left="720" w:hanging="720"/>
      </w:p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5C64C0E"/>
    <w:multiLevelType w:val="hybridMultilevel"/>
    <w:tmpl w:val="144278FE"/>
    <w:lvl w:ilvl="0" w:tplc="14541AA8">
      <w:start w:val="1"/>
      <w:numFmt w:val="bullet"/>
      <w:lvlText w:val=""/>
      <w:lvlJc w:val="left"/>
      <w:pPr>
        <w:ind w:left="720" w:hanging="360"/>
      </w:pPr>
      <w:rPr>
        <w:rFonts w:ascii="Wingdings" w:hAnsi="Wingdings" w:hint="default"/>
        <w:color w:val="0070C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6AD7321"/>
    <w:multiLevelType w:val="hybridMultilevel"/>
    <w:tmpl w:val="6C9620D8"/>
    <w:lvl w:ilvl="0" w:tplc="14541AA8">
      <w:start w:val="1"/>
      <w:numFmt w:val="bullet"/>
      <w:lvlText w:val=""/>
      <w:lvlJc w:val="left"/>
      <w:pPr>
        <w:ind w:left="720" w:hanging="360"/>
      </w:pPr>
      <w:rPr>
        <w:rFonts w:ascii="Wingdings" w:hAnsi="Wingdings" w:hint="default"/>
        <w:color w:val="0070C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28AE5ACD"/>
    <w:multiLevelType w:val="multilevel"/>
    <w:tmpl w:val="6D7812B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0429E"/>
    <w:multiLevelType w:val="multilevel"/>
    <w:tmpl w:val="CA5EF200"/>
    <w:lvl w:ilvl="0">
      <w:start w:val="3"/>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01BD9"/>
    <w:multiLevelType w:val="multilevel"/>
    <w:tmpl w:val="09567044"/>
    <w:lvl w:ilvl="0">
      <w:start w:val="4"/>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A57129"/>
    <w:multiLevelType w:val="hybridMultilevel"/>
    <w:tmpl w:val="32462018"/>
    <w:lvl w:ilvl="0" w:tplc="14541AA8">
      <w:start w:val="1"/>
      <w:numFmt w:val="bullet"/>
      <w:lvlText w:val=""/>
      <w:lvlJc w:val="left"/>
      <w:pPr>
        <w:ind w:left="720" w:hanging="360"/>
      </w:pPr>
      <w:rPr>
        <w:rFonts w:ascii="Wingdings" w:hAnsi="Wingdings" w:hint="default"/>
        <w:color w:val="0070C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629E06DA"/>
    <w:multiLevelType w:val="multilevel"/>
    <w:tmpl w:val="0B344F22"/>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5011584"/>
    <w:multiLevelType w:val="hybridMultilevel"/>
    <w:tmpl w:val="2570845C"/>
    <w:lvl w:ilvl="0" w:tplc="14541AA8">
      <w:start w:val="1"/>
      <w:numFmt w:val="bullet"/>
      <w:lvlText w:val=""/>
      <w:lvlJc w:val="left"/>
      <w:pPr>
        <w:ind w:left="720" w:hanging="360"/>
      </w:pPr>
      <w:rPr>
        <w:rFonts w:ascii="Wingdings" w:hAnsi="Wingdings" w:hint="default"/>
        <w:color w:val="0070C0"/>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72C23E45"/>
    <w:multiLevelType w:val="multilevel"/>
    <w:tmpl w:val="19620F1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89497930">
    <w:abstractNumId w:val="3"/>
  </w:num>
  <w:num w:numId="2" w16cid:durableId="1979845187">
    <w:abstractNumId w:val="4"/>
  </w:num>
  <w:num w:numId="3" w16cid:durableId="2559282">
    <w:abstractNumId w:val="1"/>
  </w:num>
  <w:num w:numId="4" w16cid:durableId="1657341724">
    <w:abstractNumId w:val="5"/>
  </w:num>
  <w:num w:numId="5" w16cid:durableId="475680329">
    <w:abstractNumId w:val="0"/>
  </w:num>
  <w:num w:numId="6" w16cid:durableId="805467537">
    <w:abstractNumId w:val="10"/>
  </w:num>
  <w:num w:numId="7" w16cid:durableId="1125851902">
    <w:abstractNumId w:val="9"/>
  </w:num>
  <w:num w:numId="8" w16cid:durableId="140732977">
    <w:abstractNumId w:val="2"/>
  </w:num>
  <w:num w:numId="9" w16cid:durableId="1964966983">
    <w:abstractNumId w:val="11"/>
  </w:num>
  <w:num w:numId="10" w16cid:durableId="43411833">
    <w:abstractNumId w:val="8"/>
  </w:num>
  <w:num w:numId="11" w16cid:durableId="1765417486">
    <w:abstractNumId w:val="12"/>
  </w:num>
  <w:num w:numId="12" w16cid:durableId="315033141">
    <w:abstractNumId w:val="6"/>
  </w:num>
  <w:num w:numId="13" w16cid:durableId="678656710">
    <w:abstractNumId w:val="7"/>
  </w:num>
  <w:num w:numId="14" w16cid:durableId="123208114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F2A"/>
    <w:rsid w:val="00000342"/>
    <w:rsid w:val="00000FBD"/>
    <w:rsid w:val="00000FE0"/>
    <w:rsid w:val="00001084"/>
    <w:rsid w:val="00001593"/>
    <w:rsid w:val="00001CFD"/>
    <w:rsid w:val="00002BC1"/>
    <w:rsid w:val="00003BF3"/>
    <w:rsid w:val="00005542"/>
    <w:rsid w:val="00006009"/>
    <w:rsid w:val="00006272"/>
    <w:rsid w:val="000066E0"/>
    <w:rsid w:val="000066FC"/>
    <w:rsid w:val="00006FB5"/>
    <w:rsid w:val="000077C1"/>
    <w:rsid w:val="00007E8C"/>
    <w:rsid w:val="0001015E"/>
    <w:rsid w:val="0001082C"/>
    <w:rsid w:val="00011A5B"/>
    <w:rsid w:val="00011AFB"/>
    <w:rsid w:val="00011F91"/>
    <w:rsid w:val="000125FA"/>
    <w:rsid w:val="0001299C"/>
    <w:rsid w:val="00012F62"/>
    <w:rsid w:val="00013927"/>
    <w:rsid w:val="00013CC1"/>
    <w:rsid w:val="00014A3A"/>
    <w:rsid w:val="00014D9C"/>
    <w:rsid w:val="00015157"/>
    <w:rsid w:val="0001593E"/>
    <w:rsid w:val="00015EF5"/>
    <w:rsid w:val="00016065"/>
    <w:rsid w:val="000164E7"/>
    <w:rsid w:val="00016641"/>
    <w:rsid w:val="00016734"/>
    <w:rsid w:val="0001674F"/>
    <w:rsid w:val="00016828"/>
    <w:rsid w:val="00016C26"/>
    <w:rsid w:val="00017048"/>
    <w:rsid w:val="00017536"/>
    <w:rsid w:val="00017E46"/>
    <w:rsid w:val="000200EC"/>
    <w:rsid w:val="00020478"/>
    <w:rsid w:val="00020850"/>
    <w:rsid w:val="00020DD1"/>
    <w:rsid w:val="00020F03"/>
    <w:rsid w:val="000219E6"/>
    <w:rsid w:val="000223D0"/>
    <w:rsid w:val="0002296F"/>
    <w:rsid w:val="00022B2E"/>
    <w:rsid w:val="000231D2"/>
    <w:rsid w:val="000241FF"/>
    <w:rsid w:val="000247EF"/>
    <w:rsid w:val="0002509D"/>
    <w:rsid w:val="000251A5"/>
    <w:rsid w:val="00025552"/>
    <w:rsid w:val="00025987"/>
    <w:rsid w:val="00026500"/>
    <w:rsid w:val="000269D5"/>
    <w:rsid w:val="00026DFE"/>
    <w:rsid w:val="000270BE"/>
    <w:rsid w:val="00027209"/>
    <w:rsid w:val="00030C4B"/>
    <w:rsid w:val="0003134C"/>
    <w:rsid w:val="00032354"/>
    <w:rsid w:val="00032AF4"/>
    <w:rsid w:val="00032C61"/>
    <w:rsid w:val="00032D5C"/>
    <w:rsid w:val="00032FC8"/>
    <w:rsid w:val="00033292"/>
    <w:rsid w:val="00033BA3"/>
    <w:rsid w:val="00033E22"/>
    <w:rsid w:val="00033E46"/>
    <w:rsid w:val="00034375"/>
    <w:rsid w:val="000344C4"/>
    <w:rsid w:val="00034744"/>
    <w:rsid w:val="00034825"/>
    <w:rsid w:val="00034950"/>
    <w:rsid w:val="00034A38"/>
    <w:rsid w:val="00035BAE"/>
    <w:rsid w:val="00035D1D"/>
    <w:rsid w:val="000401BE"/>
    <w:rsid w:val="000407D9"/>
    <w:rsid w:val="000414CA"/>
    <w:rsid w:val="00042100"/>
    <w:rsid w:val="000422EE"/>
    <w:rsid w:val="00043051"/>
    <w:rsid w:val="00043FA9"/>
    <w:rsid w:val="00044F7B"/>
    <w:rsid w:val="000453ED"/>
    <w:rsid w:val="000458CF"/>
    <w:rsid w:val="00046C06"/>
    <w:rsid w:val="00047478"/>
    <w:rsid w:val="0004785D"/>
    <w:rsid w:val="00047BA9"/>
    <w:rsid w:val="00047C2E"/>
    <w:rsid w:val="00050A28"/>
    <w:rsid w:val="00050D8F"/>
    <w:rsid w:val="000515DB"/>
    <w:rsid w:val="00051C6F"/>
    <w:rsid w:val="0005264B"/>
    <w:rsid w:val="00052A62"/>
    <w:rsid w:val="0005349B"/>
    <w:rsid w:val="00053624"/>
    <w:rsid w:val="00053D5E"/>
    <w:rsid w:val="000544AF"/>
    <w:rsid w:val="000554F0"/>
    <w:rsid w:val="00056FDA"/>
    <w:rsid w:val="000578C9"/>
    <w:rsid w:val="0006046E"/>
    <w:rsid w:val="00060A4F"/>
    <w:rsid w:val="00061ADE"/>
    <w:rsid w:val="00062507"/>
    <w:rsid w:val="000626C4"/>
    <w:rsid w:val="00062783"/>
    <w:rsid w:val="00062EC2"/>
    <w:rsid w:val="00063750"/>
    <w:rsid w:val="00064686"/>
    <w:rsid w:val="00064F2F"/>
    <w:rsid w:val="00065763"/>
    <w:rsid w:val="00065CE4"/>
    <w:rsid w:val="00065FE2"/>
    <w:rsid w:val="0006610C"/>
    <w:rsid w:val="0006649A"/>
    <w:rsid w:val="0006776A"/>
    <w:rsid w:val="00067C49"/>
    <w:rsid w:val="00070FDB"/>
    <w:rsid w:val="000714B8"/>
    <w:rsid w:val="0007163D"/>
    <w:rsid w:val="00071B99"/>
    <w:rsid w:val="00072411"/>
    <w:rsid w:val="000727EB"/>
    <w:rsid w:val="000730B8"/>
    <w:rsid w:val="00073149"/>
    <w:rsid w:val="00074390"/>
    <w:rsid w:val="00074411"/>
    <w:rsid w:val="00075391"/>
    <w:rsid w:val="000754A9"/>
    <w:rsid w:val="0007625A"/>
    <w:rsid w:val="00076661"/>
    <w:rsid w:val="00076A43"/>
    <w:rsid w:val="0007777C"/>
    <w:rsid w:val="00077D40"/>
    <w:rsid w:val="0008009B"/>
    <w:rsid w:val="000811D1"/>
    <w:rsid w:val="00081648"/>
    <w:rsid w:val="0008341B"/>
    <w:rsid w:val="00083707"/>
    <w:rsid w:val="00083731"/>
    <w:rsid w:val="000838E7"/>
    <w:rsid w:val="00084153"/>
    <w:rsid w:val="00084190"/>
    <w:rsid w:val="0008664A"/>
    <w:rsid w:val="00086DA4"/>
    <w:rsid w:val="00087259"/>
    <w:rsid w:val="00087373"/>
    <w:rsid w:val="000901AB"/>
    <w:rsid w:val="000902CF"/>
    <w:rsid w:val="00090689"/>
    <w:rsid w:val="0009074D"/>
    <w:rsid w:val="00090FB1"/>
    <w:rsid w:val="0009186B"/>
    <w:rsid w:val="000920DA"/>
    <w:rsid w:val="0009231F"/>
    <w:rsid w:val="000925C7"/>
    <w:rsid w:val="00092C8B"/>
    <w:rsid w:val="00092F97"/>
    <w:rsid w:val="000944C1"/>
    <w:rsid w:val="000945E9"/>
    <w:rsid w:val="00095206"/>
    <w:rsid w:val="00095286"/>
    <w:rsid w:val="00096E6D"/>
    <w:rsid w:val="00096E78"/>
    <w:rsid w:val="00097AFC"/>
    <w:rsid w:val="00097DD1"/>
    <w:rsid w:val="000A0A4F"/>
    <w:rsid w:val="000A0DFD"/>
    <w:rsid w:val="000A1A9C"/>
    <w:rsid w:val="000A24F1"/>
    <w:rsid w:val="000A2C8C"/>
    <w:rsid w:val="000A2CF1"/>
    <w:rsid w:val="000A30F7"/>
    <w:rsid w:val="000A35DC"/>
    <w:rsid w:val="000A3AF4"/>
    <w:rsid w:val="000A3B77"/>
    <w:rsid w:val="000A45AB"/>
    <w:rsid w:val="000A4A5F"/>
    <w:rsid w:val="000A58BA"/>
    <w:rsid w:val="000A65E5"/>
    <w:rsid w:val="000A6AF4"/>
    <w:rsid w:val="000A72F8"/>
    <w:rsid w:val="000A7ECE"/>
    <w:rsid w:val="000B00CA"/>
    <w:rsid w:val="000B088A"/>
    <w:rsid w:val="000B1064"/>
    <w:rsid w:val="000B1583"/>
    <w:rsid w:val="000B21C3"/>
    <w:rsid w:val="000B24AA"/>
    <w:rsid w:val="000B2623"/>
    <w:rsid w:val="000B26C2"/>
    <w:rsid w:val="000B2B3A"/>
    <w:rsid w:val="000B3A09"/>
    <w:rsid w:val="000B4E59"/>
    <w:rsid w:val="000B4F3D"/>
    <w:rsid w:val="000B5A6F"/>
    <w:rsid w:val="000B5EB3"/>
    <w:rsid w:val="000B6689"/>
    <w:rsid w:val="000B6EDD"/>
    <w:rsid w:val="000B70A8"/>
    <w:rsid w:val="000B75D9"/>
    <w:rsid w:val="000C0354"/>
    <w:rsid w:val="000C11B6"/>
    <w:rsid w:val="000C1894"/>
    <w:rsid w:val="000C4520"/>
    <w:rsid w:val="000C4C07"/>
    <w:rsid w:val="000C529D"/>
    <w:rsid w:val="000C6005"/>
    <w:rsid w:val="000C6B49"/>
    <w:rsid w:val="000C6B88"/>
    <w:rsid w:val="000C6D2A"/>
    <w:rsid w:val="000C76BC"/>
    <w:rsid w:val="000C7A7B"/>
    <w:rsid w:val="000D01C9"/>
    <w:rsid w:val="000D0898"/>
    <w:rsid w:val="000D1D79"/>
    <w:rsid w:val="000D1E27"/>
    <w:rsid w:val="000D23D8"/>
    <w:rsid w:val="000D2C6D"/>
    <w:rsid w:val="000D38EA"/>
    <w:rsid w:val="000D3901"/>
    <w:rsid w:val="000D4301"/>
    <w:rsid w:val="000D4D96"/>
    <w:rsid w:val="000D4E4A"/>
    <w:rsid w:val="000D51C8"/>
    <w:rsid w:val="000D6198"/>
    <w:rsid w:val="000E04D4"/>
    <w:rsid w:val="000E0523"/>
    <w:rsid w:val="000E22D4"/>
    <w:rsid w:val="000E25C4"/>
    <w:rsid w:val="000E2605"/>
    <w:rsid w:val="000E2A88"/>
    <w:rsid w:val="000E2B2D"/>
    <w:rsid w:val="000E3483"/>
    <w:rsid w:val="000E3DB3"/>
    <w:rsid w:val="000E4954"/>
    <w:rsid w:val="000E4D00"/>
    <w:rsid w:val="000E54A0"/>
    <w:rsid w:val="000E5A04"/>
    <w:rsid w:val="000E5B8F"/>
    <w:rsid w:val="000E6127"/>
    <w:rsid w:val="000E64AB"/>
    <w:rsid w:val="000E6BD3"/>
    <w:rsid w:val="000E6F2A"/>
    <w:rsid w:val="000F06AB"/>
    <w:rsid w:val="000F0BF1"/>
    <w:rsid w:val="000F13DA"/>
    <w:rsid w:val="000F13FA"/>
    <w:rsid w:val="000F2080"/>
    <w:rsid w:val="000F2F6F"/>
    <w:rsid w:val="000F3C5E"/>
    <w:rsid w:val="000F40F7"/>
    <w:rsid w:val="000F4D05"/>
    <w:rsid w:val="000F50AF"/>
    <w:rsid w:val="000F5384"/>
    <w:rsid w:val="000F5432"/>
    <w:rsid w:val="000F589D"/>
    <w:rsid w:val="000F60C1"/>
    <w:rsid w:val="000F684C"/>
    <w:rsid w:val="000F7448"/>
    <w:rsid w:val="000F74FB"/>
    <w:rsid w:val="000F7B7F"/>
    <w:rsid w:val="0010092D"/>
    <w:rsid w:val="00100CAA"/>
    <w:rsid w:val="00100E31"/>
    <w:rsid w:val="0010115F"/>
    <w:rsid w:val="0010131F"/>
    <w:rsid w:val="00101939"/>
    <w:rsid w:val="001026A0"/>
    <w:rsid w:val="00102F5B"/>
    <w:rsid w:val="00103406"/>
    <w:rsid w:val="0010431C"/>
    <w:rsid w:val="00104343"/>
    <w:rsid w:val="001046A5"/>
    <w:rsid w:val="001046CD"/>
    <w:rsid w:val="00106D28"/>
    <w:rsid w:val="001075C3"/>
    <w:rsid w:val="0010797C"/>
    <w:rsid w:val="0011060B"/>
    <w:rsid w:val="00110B4A"/>
    <w:rsid w:val="00111C99"/>
    <w:rsid w:val="0011200E"/>
    <w:rsid w:val="00112411"/>
    <w:rsid w:val="0011299F"/>
    <w:rsid w:val="00112C80"/>
    <w:rsid w:val="00113437"/>
    <w:rsid w:val="00113A6F"/>
    <w:rsid w:val="00113BB0"/>
    <w:rsid w:val="00113F49"/>
    <w:rsid w:val="00114B5A"/>
    <w:rsid w:val="0011544A"/>
    <w:rsid w:val="00115E78"/>
    <w:rsid w:val="00116B0B"/>
    <w:rsid w:val="001179F9"/>
    <w:rsid w:val="00117F27"/>
    <w:rsid w:val="00120C1A"/>
    <w:rsid w:val="00120C42"/>
    <w:rsid w:val="00121070"/>
    <w:rsid w:val="00121A8B"/>
    <w:rsid w:val="00122355"/>
    <w:rsid w:val="001226CD"/>
    <w:rsid w:val="00122946"/>
    <w:rsid w:val="00122C11"/>
    <w:rsid w:val="0012344A"/>
    <w:rsid w:val="00123636"/>
    <w:rsid w:val="00123BB6"/>
    <w:rsid w:val="00123C73"/>
    <w:rsid w:val="00123E3B"/>
    <w:rsid w:val="00125FDC"/>
    <w:rsid w:val="00126AEA"/>
    <w:rsid w:val="00127D76"/>
    <w:rsid w:val="001304F6"/>
    <w:rsid w:val="00131390"/>
    <w:rsid w:val="001315FD"/>
    <w:rsid w:val="00132129"/>
    <w:rsid w:val="001324DE"/>
    <w:rsid w:val="00132668"/>
    <w:rsid w:val="00133109"/>
    <w:rsid w:val="00133346"/>
    <w:rsid w:val="001333D9"/>
    <w:rsid w:val="001336B3"/>
    <w:rsid w:val="00134911"/>
    <w:rsid w:val="00134DBB"/>
    <w:rsid w:val="001355E2"/>
    <w:rsid w:val="001360BF"/>
    <w:rsid w:val="00136226"/>
    <w:rsid w:val="00136754"/>
    <w:rsid w:val="001374E4"/>
    <w:rsid w:val="001378CD"/>
    <w:rsid w:val="00137A1E"/>
    <w:rsid w:val="00140A1B"/>
    <w:rsid w:val="00141701"/>
    <w:rsid w:val="001417E4"/>
    <w:rsid w:val="001418AF"/>
    <w:rsid w:val="00142008"/>
    <w:rsid w:val="00142510"/>
    <w:rsid w:val="001425AD"/>
    <w:rsid w:val="00142B38"/>
    <w:rsid w:val="00142CB7"/>
    <w:rsid w:val="00143111"/>
    <w:rsid w:val="00143A69"/>
    <w:rsid w:val="00143B11"/>
    <w:rsid w:val="001444EA"/>
    <w:rsid w:val="0014460A"/>
    <w:rsid w:val="00144979"/>
    <w:rsid w:val="00145195"/>
    <w:rsid w:val="00145F3D"/>
    <w:rsid w:val="001463CC"/>
    <w:rsid w:val="001466F9"/>
    <w:rsid w:val="00146802"/>
    <w:rsid w:val="00147007"/>
    <w:rsid w:val="00147348"/>
    <w:rsid w:val="001473DF"/>
    <w:rsid w:val="00147464"/>
    <w:rsid w:val="0014753C"/>
    <w:rsid w:val="0015012F"/>
    <w:rsid w:val="001504D1"/>
    <w:rsid w:val="0015071C"/>
    <w:rsid w:val="00150D34"/>
    <w:rsid w:val="00151133"/>
    <w:rsid w:val="0015177C"/>
    <w:rsid w:val="001517E9"/>
    <w:rsid w:val="001547AC"/>
    <w:rsid w:val="0015483F"/>
    <w:rsid w:val="0015487B"/>
    <w:rsid w:val="001549A2"/>
    <w:rsid w:val="001552C7"/>
    <w:rsid w:val="0015605F"/>
    <w:rsid w:val="0015615F"/>
    <w:rsid w:val="00156345"/>
    <w:rsid w:val="00156A07"/>
    <w:rsid w:val="0015701F"/>
    <w:rsid w:val="001577FB"/>
    <w:rsid w:val="00160061"/>
    <w:rsid w:val="001616E2"/>
    <w:rsid w:val="001628D7"/>
    <w:rsid w:val="00162D4F"/>
    <w:rsid w:val="00162F06"/>
    <w:rsid w:val="0016323B"/>
    <w:rsid w:val="00165105"/>
    <w:rsid w:val="001655EE"/>
    <w:rsid w:val="00165AA3"/>
    <w:rsid w:val="00165D81"/>
    <w:rsid w:val="001667CF"/>
    <w:rsid w:val="00167141"/>
    <w:rsid w:val="001671DA"/>
    <w:rsid w:val="0016794D"/>
    <w:rsid w:val="00170208"/>
    <w:rsid w:val="00170657"/>
    <w:rsid w:val="00170CBA"/>
    <w:rsid w:val="001717D5"/>
    <w:rsid w:val="001722CA"/>
    <w:rsid w:val="0017231D"/>
    <w:rsid w:val="00173DFE"/>
    <w:rsid w:val="001741B8"/>
    <w:rsid w:val="001749BB"/>
    <w:rsid w:val="00174A1A"/>
    <w:rsid w:val="00174B55"/>
    <w:rsid w:val="00175904"/>
    <w:rsid w:val="00176886"/>
    <w:rsid w:val="00177953"/>
    <w:rsid w:val="00177CB2"/>
    <w:rsid w:val="0018017C"/>
    <w:rsid w:val="001805D8"/>
    <w:rsid w:val="00180BA4"/>
    <w:rsid w:val="001818A6"/>
    <w:rsid w:val="00181E97"/>
    <w:rsid w:val="00182681"/>
    <w:rsid w:val="001827CD"/>
    <w:rsid w:val="00182C32"/>
    <w:rsid w:val="0018306A"/>
    <w:rsid w:val="00183369"/>
    <w:rsid w:val="00183708"/>
    <w:rsid w:val="001839F3"/>
    <w:rsid w:val="00183D77"/>
    <w:rsid w:val="00183F11"/>
    <w:rsid w:val="00184162"/>
    <w:rsid w:val="0018457B"/>
    <w:rsid w:val="00184683"/>
    <w:rsid w:val="00185097"/>
    <w:rsid w:val="0018592E"/>
    <w:rsid w:val="0018594B"/>
    <w:rsid w:val="00185998"/>
    <w:rsid w:val="00185C13"/>
    <w:rsid w:val="00186320"/>
    <w:rsid w:val="0018741D"/>
    <w:rsid w:val="00187A6B"/>
    <w:rsid w:val="001904F7"/>
    <w:rsid w:val="0019060A"/>
    <w:rsid w:val="0019087C"/>
    <w:rsid w:val="00191157"/>
    <w:rsid w:val="00191DAC"/>
    <w:rsid w:val="00191E57"/>
    <w:rsid w:val="0019214A"/>
    <w:rsid w:val="001924E9"/>
    <w:rsid w:val="00192851"/>
    <w:rsid w:val="00192A1D"/>
    <w:rsid w:val="001931F8"/>
    <w:rsid w:val="00193391"/>
    <w:rsid w:val="001941ED"/>
    <w:rsid w:val="001942F7"/>
    <w:rsid w:val="0019430D"/>
    <w:rsid w:val="001943F8"/>
    <w:rsid w:val="00194B4E"/>
    <w:rsid w:val="00194E9A"/>
    <w:rsid w:val="001953B8"/>
    <w:rsid w:val="001956B5"/>
    <w:rsid w:val="00195A51"/>
    <w:rsid w:val="00195B4A"/>
    <w:rsid w:val="001973B4"/>
    <w:rsid w:val="00197F71"/>
    <w:rsid w:val="001A01F9"/>
    <w:rsid w:val="001A026C"/>
    <w:rsid w:val="001A080D"/>
    <w:rsid w:val="001A0B0F"/>
    <w:rsid w:val="001A0C87"/>
    <w:rsid w:val="001A0EFF"/>
    <w:rsid w:val="001A1264"/>
    <w:rsid w:val="001A1954"/>
    <w:rsid w:val="001A2EEB"/>
    <w:rsid w:val="001A31C6"/>
    <w:rsid w:val="001A33C4"/>
    <w:rsid w:val="001A38D8"/>
    <w:rsid w:val="001A3952"/>
    <w:rsid w:val="001A57EF"/>
    <w:rsid w:val="001A5D89"/>
    <w:rsid w:val="001A5EDC"/>
    <w:rsid w:val="001A61A7"/>
    <w:rsid w:val="001A65FD"/>
    <w:rsid w:val="001A710F"/>
    <w:rsid w:val="001A7350"/>
    <w:rsid w:val="001A78C0"/>
    <w:rsid w:val="001A7C4C"/>
    <w:rsid w:val="001A7F79"/>
    <w:rsid w:val="001B0121"/>
    <w:rsid w:val="001B02E5"/>
    <w:rsid w:val="001B0FDD"/>
    <w:rsid w:val="001B104B"/>
    <w:rsid w:val="001B2018"/>
    <w:rsid w:val="001B22E8"/>
    <w:rsid w:val="001B2485"/>
    <w:rsid w:val="001B2B20"/>
    <w:rsid w:val="001B43E4"/>
    <w:rsid w:val="001B49FD"/>
    <w:rsid w:val="001B61A6"/>
    <w:rsid w:val="001B6ADC"/>
    <w:rsid w:val="001B700D"/>
    <w:rsid w:val="001B7190"/>
    <w:rsid w:val="001B7EBB"/>
    <w:rsid w:val="001B7F45"/>
    <w:rsid w:val="001C0261"/>
    <w:rsid w:val="001C1044"/>
    <w:rsid w:val="001C10DC"/>
    <w:rsid w:val="001C1CDC"/>
    <w:rsid w:val="001C20FC"/>
    <w:rsid w:val="001C2165"/>
    <w:rsid w:val="001C23C2"/>
    <w:rsid w:val="001C33E6"/>
    <w:rsid w:val="001C3A4F"/>
    <w:rsid w:val="001C3B40"/>
    <w:rsid w:val="001C3BC3"/>
    <w:rsid w:val="001C3E90"/>
    <w:rsid w:val="001C4484"/>
    <w:rsid w:val="001C4902"/>
    <w:rsid w:val="001C4A9D"/>
    <w:rsid w:val="001C57C0"/>
    <w:rsid w:val="001C5B56"/>
    <w:rsid w:val="001C6A95"/>
    <w:rsid w:val="001C7126"/>
    <w:rsid w:val="001C7BB0"/>
    <w:rsid w:val="001D0920"/>
    <w:rsid w:val="001D0AC6"/>
    <w:rsid w:val="001D10D9"/>
    <w:rsid w:val="001D1B11"/>
    <w:rsid w:val="001D1BF8"/>
    <w:rsid w:val="001D214F"/>
    <w:rsid w:val="001D23F5"/>
    <w:rsid w:val="001D3714"/>
    <w:rsid w:val="001D4200"/>
    <w:rsid w:val="001D5B04"/>
    <w:rsid w:val="001D5F82"/>
    <w:rsid w:val="001D6108"/>
    <w:rsid w:val="001D6C93"/>
    <w:rsid w:val="001D6D2D"/>
    <w:rsid w:val="001D6DD1"/>
    <w:rsid w:val="001D6EC0"/>
    <w:rsid w:val="001D71D3"/>
    <w:rsid w:val="001D76B0"/>
    <w:rsid w:val="001D7BCB"/>
    <w:rsid w:val="001D7BDE"/>
    <w:rsid w:val="001E0129"/>
    <w:rsid w:val="001E0A2D"/>
    <w:rsid w:val="001E101F"/>
    <w:rsid w:val="001E175A"/>
    <w:rsid w:val="001E1837"/>
    <w:rsid w:val="001E1EA6"/>
    <w:rsid w:val="001E274D"/>
    <w:rsid w:val="001E2BDD"/>
    <w:rsid w:val="001E2C54"/>
    <w:rsid w:val="001E392E"/>
    <w:rsid w:val="001E49EF"/>
    <w:rsid w:val="001E4D39"/>
    <w:rsid w:val="001E4EA0"/>
    <w:rsid w:val="001E5ACD"/>
    <w:rsid w:val="001E6F38"/>
    <w:rsid w:val="001E6F9E"/>
    <w:rsid w:val="001E7F4F"/>
    <w:rsid w:val="001F0B57"/>
    <w:rsid w:val="001F2559"/>
    <w:rsid w:val="001F3C1A"/>
    <w:rsid w:val="001F43E1"/>
    <w:rsid w:val="001F441F"/>
    <w:rsid w:val="001F46E1"/>
    <w:rsid w:val="001F48A1"/>
    <w:rsid w:val="001F574E"/>
    <w:rsid w:val="001F6E34"/>
    <w:rsid w:val="001F6F3C"/>
    <w:rsid w:val="001F7107"/>
    <w:rsid w:val="001F7648"/>
    <w:rsid w:val="0020080B"/>
    <w:rsid w:val="002009F1"/>
    <w:rsid w:val="00200A86"/>
    <w:rsid w:val="002010B1"/>
    <w:rsid w:val="002012F6"/>
    <w:rsid w:val="00201FD9"/>
    <w:rsid w:val="00203C38"/>
    <w:rsid w:val="00204DD6"/>
    <w:rsid w:val="00204E43"/>
    <w:rsid w:val="00205351"/>
    <w:rsid w:val="0020612D"/>
    <w:rsid w:val="0020790F"/>
    <w:rsid w:val="00207D5E"/>
    <w:rsid w:val="00210164"/>
    <w:rsid w:val="002101FE"/>
    <w:rsid w:val="002104EE"/>
    <w:rsid w:val="002105AC"/>
    <w:rsid w:val="00211F5F"/>
    <w:rsid w:val="002125B5"/>
    <w:rsid w:val="00212ED6"/>
    <w:rsid w:val="002130B3"/>
    <w:rsid w:val="002130C5"/>
    <w:rsid w:val="00214C19"/>
    <w:rsid w:val="00214DE3"/>
    <w:rsid w:val="00214F5C"/>
    <w:rsid w:val="0021511A"/>
    <w:rsid w:val="00215870"/>
    <w:rsid w:val="00215A02"/>
    <w:rsid w:val="00215D58"/>
    <w:rsid w:val="0021722E"/>
    <w:rsid w:val="002176D5"/>
    <w:rsid w:val="002202DB"/>
    <w:rsid w:val="00220A97"/>
    <w:rsid w:val="00220E16"/>
    <w:rsid w:val="00221AA2"/>
    <w:rsid w:val="00222117"/>
    <w:rsid w:val="00222118"/>
    <w:rsid w:val="002223AC"/>
    <w:rsid w:val="00222473"/>
    <w:rsid w:val="00222E16"/>
    <w:rsid w:val="00222EF7"/>
    <w:rsid w:val="00223059"/>
    <w:rsid w:val="00223F51"/>
    <w:rsid w:val="00224151"/>
    <w:rsid w:val="0022493A"/>
    <w:rsid w:val="00224B15"/>
    <w:rsid w:val="00224F9A"/>
    <w:rsid w:val="00225C14"/>
    <w:rsid w:val="00226EE8"/>
    <w:rsid w:val="00226EF2"/>
    <w:rsid w:val="00227456"/>
    <w:rsid w:val="0022754B"/>
    <w:rsid w:val="00227DEE"/>
    <w:rsid w:val="00230B32"/>
    <w:rsid w:val="00230BE7"/>
    <w:rsid w:val="00231896"/>
    <w:rsid w:val="0023266F"/>
    <w:rsid w:val="002336F5"/>
    <w:rsid w:val="00233A7E"/>
    <w:rsid w:val="002340A1"/>
    <w:rsid w:val="0023520F"/>
    <w:rsid w:val="002354BE"/>
    <w:rsid w:val="00235BCC"/>
    <w:rsid w:val="00235D30"/>
    <w:rsid w:val="0023614A"/>
    <w:rsid w:val="002362D7"/>
    <w:rsid w:val="0023646E"/>
    <w:rsid w:val="00236F1C"/>
    <w:rsid w:val="00240B3C"/>
    <w:rsid w:val="00240B7C"/>
    <w:rsid w:val="00241545"/>
    <w:rsid w:val="00241F53"/>
    <w:rsid w:val="002430D0"/>
    <w:rsid w:val="00243517"/>
    <w:rsid w:val="002439BC"/>
    <w:rsid w:val="00243ABD"/>
    <w:rsid w:val="0024402D"/>
    <w:rsid w:val="0024404A"/>
    <w:rsid w:val="002462C7"/>
    <w:rsid w:val="00246C5B"/>
    <w:rsid w:val="00250273"/>
    <w:rsid w:val="00250D48"/>
    <w:rsid w:val="0025127A"/>
    <w:rsid w:val="0025132C"/>
    <w:rsid w:val="002516F0"/>
    <w:rsid w:val="002523DA"/>
    <w:rsid w:val="00253FEC"/>
    <w:rsid w:val="0025425B"/>
    <w:rsid w:val="0025466D"/>
    <w:rsid w:val="00254CB9"/>
    <w:rsid w:val="00254D22"/>
    <w:rsid w:val="002552D4"/>
    <w:rsid w:val="00256725"/>
    <w:rsid w:val="00256BE5"/>
    <w:rsid w:val="002570A1"/>
    <w:rsid w:val="00257310"/>
    <w:rsid w:val="002574FE"/>
    <w:rsid w:val="00260192"/>
    <w:rsid w:val="0026157C"/>
    <w:rsid w:val="00261FB1"/>
    <w:rsid w:val="0026227C"/>
    <w:rsid w:val="002625A3"/>
    <w:rsid w:val="002632D0"/>
    <w:rsid w:val="00263B75"/>
    <w:rsid w:val="00264462"/>
    <w:rsid w:val="00265237"/>
    <w:rsid w:val="00265811"/>
    <w:rsid w:val="00265DF4"/>
    <w:rsid w:val="00266429"/>
    <w:rsid w:val="002664BC"/>
    <w:rsid w:val="0026677F"/>
    <w:rsid w:val="002667AA"/>
    <w:rsid w:val="0027044A"/>
    <w:rsid w:val="00270AB2"/>
    <w:rsid w:val="00270CEC"/>
    <w:rsid w:val="002711B5"/>
    <w:rsid w:val="002715BD"/>
    <w:rsid w:val="00271D67"/>
    <w:rsid w:val="00271E53"/>
    <w:rsid w:val="0027211E"/>
    <w:rsid w:val="002726B1"/>
    <w:rsid w:val="00272C80"/>
    <w:rsid w:val="002734D3"/>
    <w:rsid w:val="002737F8"/>
    <w:rsid w:val="002757E5"/>
    <w:rsid w:val="00275CDE"/>
    <w:rsid w:val="0027685D"/>
    <w:rsid w:val="00276C8B"/>
    <w:rsid w:val="00276D3B"/>
    <w:rsid w:val="00277CD8"/>
    <w:rsid w:val="00277EF1"/>
    <w:rsid w:val="00280EF4"/>
    <w:rsid w:val="00281330"/>
    <w:rsid w:val="002817D5"/>
    <w:rsid w:val="00281E61"/>
    <w:rsid w:val="00282028"/>
    <w:rsid w:val="00282342"/>
    <w:rsid w:val="00283292"/>
    <w:rsid w:val="00283604"/>
    <w:rsid w:val="0028377D"/>
    <w:rsid w:val="002841C2"/>
    <w:rsid w:val="00284CBA"/>
    <w:rsid w:val="002850DB"/>
    <w:rsid w:val="002851AA"/>
    <w:rsid w:val="00285898"/>
    <w:rsid w:val="002863DE"/>
    <w:rsid w:val="00286F9B"/>
    <w:rsid w:val="002870F0"/>
    <w:rsid w:val="00287119"/>
    <w:rsid w:val="002871BE"/>
    <w:rsid w:val="002873DE"/>
    <w:rsid w:val="0029014D"/>
    <w:rsid w:val="0029115B"/>
    <w:rsid w:val="00291347"/>
    <w:rsid w:val="002913FC"/>
    <w:rsid w:val="00291B1A"/>
    <w:rsid w:val="0029224F"/>
    <w:rsid w:val="00292C76"/>
    <w:rsid w:val="00292D73"/>
    <w:rsid w:val="002936D8"/>
    <w:rsid w:val="00294377"/>
    <w:rsid w:val="0029534C"/>
    <w:rsid w:val="00295D8F"/>
    <w:rsid w:val="00295DCE"/>
    <w:rsid w:val="002961A2"/>
    <w:rsid w:val="00296375"/>
    <w:rsid w:val="00296770"/>
    <w:rsid w:val="00296C47"/>
    <w:rsid w:val="00296DE5"/>
    <w:rsid w:val="002972BA"/>
    <w:rsid w:val="00297D16"/>
    <w:rsid w:val="002A0F47"/>
    <w:rsid w:val="002A1E9E"/>
    <w:rsid w:val="002A2039"/>
    <w:rsid w:val="002A209A"/>
    <w:rsid w:val="002A2583"/>
    <w:rsid w:val="002A2C3F"/>
    <w:rsid w:val="002A37F1"/>
    <w:rsid w:val="002A4D40"/>
    <w:rsid w:val="002A574E"/>
    <w:rsid w:val="002A5EE1"/>
    <w:rsid w:val="002A6AC3"/>
    <w:rsid w:val="002A6EC2"/>
    <w:rsid w:val="002A6F11"/>
    <w:rsid w:val="002A7106"/>
    <w:rsid w:val="002A72C7"/>
    <w:rsid w:val="002A7364"/>
    <w:rsid w:val="002B0042"/>
    <w:rsid w:val="002B0CF2"/>
    <w:rsid w:val="002B133B"/>
    <w:rsid w:val="002B1AF8"/>
    <w:rsid w:val="002B1C06"/>
    <w:rsid w:val="002B2079"/>
    <w:rsid w:val="002B2461"/>
    <w:rsid w:val="002B24F2"/>
    <w:rsid w:val="002B2510"/>
    <w:rsid w:val="002B28D3"/>
    <w:rsid w:val="002B2905"/>
    <w:rsid w:val="002B3935"/>
    <w:rsid w:val="002B443B"/>
    <w:rsid w:val="002B470E"/>
    <w:rsid w:val="002B473B"/>
    <w:rsid w:val="002B4BCA"/>
    <w:rsid w:val="002B5217"/>
    <w:rsid w:val="002B5AE9"/>
    <w:rsid w:val="002B5D4D"/>
    <w:rsid w:val="002B60CB"/>
    <w:rsid w:val="002B6292"/>
    <w:rsid w:val="002B6764"/>
    <w:rsid w:val="002B6EE5"/>
    <w:rsid w:val="002B74F1"/>
    <w:rsid w:val="002B7533"/>
    <w:rsid w:val="002B76BF"/>
    <w:rsid w:val="002C006C"/>
    <w:rsid w:val="002C150D"/>
    <w:rsid w:val="002C2DF4"/>
    <w:rsid w:val="002C320D"/>
    <w:rsid w:val="002C4868"/>
    <w:rsid w:val="002C4A93"/>
    <w:rsid w:val="002C59B0"/>
    <w:rsid w:val="002C6390"/>
    <w:rsid w:val="002C7418"/>
    <w:rsid w:val="002C7D6A"/>
    <w:rsid w:val="002D0411"/>
    <w:rsid w:val="002D048A"/>
    <w:rsid w:val="002D1798"/>
    <w:rsid w:val="002D193B"/>
    <w:rsid w:val="002D1B52"/>
    <w:rsid w:val="002D1F8C"/>
    <w:rsid w:val="002D22AB"/>
    <w:rsid w:val="002D26BB"/>
    <w:rsid w:val="002D3612"/>
    <w:rsid w:val="002D39FB"/>
    <w:rsid w:val="002D3DDA"/>
    <w:rsid w:val="002D40F8"/>
    <w:rsid w:val="002D7497"/>
    <w:rsid w:val="002D75C9"/>
    <w:rsid w:val="002E0A35"/>
    <w:rsid w:val="002E103E"/>
    <w:rsid w:val="002E170D"/>
    <w:rsid w:val="002E18D2"/>
    <w:rsid w:val="002E1AF4"/>
    <w:rsid w:val="002E1DC9"/>
    <w:rsid w:val="002E2067"/>
    <w:rsid w:val="002E2661"/>
    <w:rsid w:val="002E32DC"/>
    <w:rsid w:val="002E3C69"/>
    <w:rsid w:val="002E49BE"/>
    <w:rsid w:val="002E646F"/>
    <w:rsid w:val="002E6E00"/>
    <w:rsid w:val="002E756D"/>
    <w:rsid w:val="002E7762"/>
    <w:rsid w:val="002F0850"/>
    <w:rsid w:val="002F1894"/>
    <w:rsid w:val="002F1A20"/>
    <w:rsid w:val="002F1A44"/>
    <w:rsid w:val="002F3319"/>
    <w:rsid w:val="002F3564"/>
    <w:rsid w:val="002F3A50"/>
    <w:rsid w:val="002F4256"/>
    <w:rsid w:val="002F4490"/>
    <w:rsid w:val="002F48C0"/>
    <w:rsid w:val="002F593A"/>
    <w:rsid w:val="002F59F5"/>
    <w:rsid w:val="002F5AA6"/>
    <w:rsid w:val="002F72A9"/>
    <w:rsid w:val="002F754C"/>
    <w:rsid w:val="002F7B8A"/>
    <w:rsid w:val="002F7BC4"/>
    <w:rsid w:val="002F7EDC"/>
    <w:rsid w:val="00300429"/>
    <w:rsid w:val="003005B3"/>
    <w:rsid w:val="00300CDB"/>
    <w:rsid w:val="00301425"/>
    <w:rsid w:val="00301F84"/>
    <w:rsid w:val="003025F6"/>
    <w:rsid w:val="003027F3"/>
    <w:rsid w:val="0030286F"/>
    <w:rsid w:val="00302D68"/>
    <w:rsid w:val="0030306D"/>
    <w:rsid w:val="00303B56"/>
    <w:rsid w:val="00304C45"/>
    <w:rsid w:val="00305EC8"/>
    <w:rsid w:val="00305EE8"/>
    <w:rsid w:val="0030677F"/>
    <w:rsid w:val="00306D45"/>
    <w:rsid w:val="0030710D"/>
    <w:rsid w:val="00307AF9"/>
    <w:rsid w:val="00307F6A"/>
    <w:rsid w:val="00310080"/>
    <w:rsid w:val="00310451"/>
    <w:rsid w:val="00310860"/>
    <w:rsid w:val="00310BD0"/>
    <w:rsid w:val="00310D63"/>
    <w:rsid w:val="003118D4"/>
    <w:rsid w:val="003120AE"/>
    <w:rsid w:val="00312989"/>
    <w:rsid w:val="00312B00"/>
    <w:rsid w:val="003133AA"/>
    <w:rsid w:val="0031351C"/>
    <w:rsid w:val="00315B3F"/>
    <w:rsid w:val="00315C00"/>
    <w:rsid w:val="00315F42"/>
    <w:rsid w:val="00315F54"/>
    <w:rsid w:val="0031738D"/>
    <w:rsid w:val="00320055"/>
    <w:rsid w:val="00320331"/>
    <w:rsid w:val="00320588"/>
    <w:rsid w:val="003210CC"/>
    <w:rsid w:val="00321217"/>
    <w:rsid w:val="00321643"/>
    <w:rsid w:val="003217DB"/>
    <w:rsid w:val="00321984"/>
    <w:rsid w:val="00321A55"/>
    <w:rsid w:val="00321DE7"/>
    <w:rsid w:val="00323B90"/>
    <w:rsid w:val="00323C95"/>
    <w:rsid w:val="00323EB4"/>
    <w:rsid w:val="00323F02"/>
    <w:rsid w:val="0032433C"/>
    <w:rsid w:val="003244C8"/>
    <w:rsid w:val="00324515"/>
    <w:rsid w:val="00324BB2"/>
    <w:rsid w:val="0032547B"/>
    <w:rsid w:val="003254FD"/>
    <w:rsid w:val="00325647"/>
    <w:rsid w:val="00326110"/>
    <w:rsid w:val="003263F5"/>
    <w:rsid w:val="0032658A"/>
    <w:rsid w:val="0032759D"/>
    <w:rsid w:val="00330318"/>
    <w:rsid w:val="00331385"/>
    <w:rsid w:val="00331478"/>
    <w:rsid w:val="00331A9E"/>
    <w:rsid w:val="00331D91"/>
    <w:rsid w:val="00332802"/>
    <w:rsid w:val="00332E95"/>
    <w:rsid w:val="00332F75"/>
    <w:rsid w:val="00333F80"/>
    <w:rsid w:val="00334201"/>
    <w:rsid w:val="00334973"/>
    <w:rsid w:val="0033545D"/>
    <w:rsid w:val="003355F4"/>
    <w:rsid w:val="00335C66"/>
    <w:rsid w:val="0033606A"/>
    <w:rsid w:val="00336146"/>
    <w:rsid w:val="003374E7"/>
    <w:rsid w:val="00337A2A"/>
    <w:rsid w:val="00340350"/>
    <w:rsid w:val="0034058B"/>
    <w:rsid w:val="003417F3"/>
    <w:rsid w:val="0034183F"/>
    <w:rsid w:val="00343C9A"/>
    <w:rsid w:val="003448D9"/>
    <w:rsid w:val="00344968"/>
    <w:rsid w:val="00345AF1"/>
    <w:rsid w:val="00346CA1"/>
    <w:rsid w:val="00347270"/>
    <w:rsid w:val="00351939"/>
    <w:rsid w:val="0035211F"/>
    <w:rsid w:val="00352F28"/>
    <w:rsid w:val="0035412D"/>
    <w:rsid w:val="00355302"/>
    <w:rsid w:val="00355379"/>
    <w:rsid w:val="0035548E"/>
    <w:rsid w:val="00355B5B"/>
    <w:rsid w:val="0036075D"/>
    <w:rsid w:val="00360851"/>
    <w:rsid w:val="00360F1F"/>
    <w:rsid w:val="00361540"/>
    <w:rsid w:val="003616A7"/>
    <w:rsid w:val="00361893"/>
    <w:rsid w:val="003620E0"/>
    <w:rsid w:val="00362724"/>
    <w:rsid w:val="00362A5B"/>
    <w:rsid w:val="00362CAE"/>
    <w:rsid w:val="003638B5"/>
    <w:rsid w:val="00364770"/>
    <w:rsid w:val="00365500"/>
    <w:rsid w:val="00365F30"/>
    <w:rsid w:val="003660CA"/>
    <w:rsid w:val="003661E1"/>
    <w:rsid w:val="0036640B"/>
    <w:rsid w:val="00366658"/>
    <w:rsid w:val="00367336"/>
    <w:rsid w:val="003674CB"/>
    <w:rsid w:val="00367FB7"/>
    <w:rsid w:val="00370841"/>
    <w:rsid w:val="0037124B"/>
    <w:rsid w:val="003718FA"/>
    <w:rsid w:val="00371918"/>
    <w:rsid w:val="0037195C"/>
    <w:rsid w:val="00371977"/>
    <w:rsid w:val="00371EF8"/>
    <w:rsid w:val="0037219F"/>
    <w:rsid w:val="00373CB3"/>
    <w:rsid w:val="003741F1"/>
    <w:rsid w:val="0037636A"/>
    <w:rsid w:val="00376B07"/>
    <w:rsid w:val="00376BD4"/>
    <w:rsid w:val="00377354"/>
    <w:rsid w:val="00377906"/>
    <w:rsid w:val="00377BD9"/>
    <w:rsid w:val="00377EC4"/>
    <w:rsid w:val="003803D8"/>
    <w:rsid w:val="0038084A"/>
    <w:rsid w:val="00381B4B"/>
    <w:rsid w:val="00381DF8"/>
    <w:rsid w:val="0038220C"/>
    <w:rsid w:val="00382253"/>
    <w:rsid w:val="0038234D"/>
    <w:rsid w:val="0038238E"/>
    <w:rsid w:val="003823DA"/>
    <w:rsid w:val="00382487"/>
    <w:rsid w:val="003830BD"/>
    <w:rsid w:val="00383619"/>
    <w:rsid w:val="003837FA"/>
    <w:rsid w:val="00383952"/>
    <w:rsid w:val="00383F0D"/>
    <w:rsid w:val="003848ED"/>
    <w:rsid w:val="003848F7"/>
    <w:rsid w:val="00384CA5"/>
    <w:rsid w:val="00384E35"/>
    <w:rsid w:val="00385223"/>
    <w:rsid w:val="003853FA"/>
    <w:rsid w:val="00385902"/>
    <w:rsid w:val="00385FFE"/>
    <w:rsid w:val="0038637F"/>
    <w:rsid w:val="00386C06"/>
    <w:rsid w:val="00386C59"/>
    <w:rsid w:val="0038754F"/>
    <w:rsid w:val="00387BDA"/>
    <w:rsid w:val="0039033E"/>
    <w:rsid w:val="00390D11"/>
    <w:rsid w:val="0039143B"/>
    <w:rsid w:val="0039195F"/>
    <w:rsid w:val="00391C80"/>
    <w:rsid w:val="00391D00"/>
    <w:rsid w:val="00392106"/>
    <w:rsid w:val="00392A70"/>
    <w:rsid w:val="0039360E"/>
    <w:rsid w:val="003939F3"/>
    <w:rsid w:val="00393FE1"/>
    <w:rsid w:val="00394279"/>
    <w:rsid w:val="003943A8"/>
    <w:rsid w:val="003948D8"/>
    <w:rsid w:val="00394BFC"/>
    <w:rsid w:val="00394F64"/>
    <w:rsid w:val="00395294"/>
    <w:rsid w:val="003957A5"/>
    <w:rsid w:val="00395AD4"/>
    <w:rsid w:val="00395DCC"/>
    <w:rsid w:val="00397AE1"/>
    <w:rsid w:val="00397BE3"/>
    <w:rsid w:val="003A1D3C"/>
    <w:rsid w:val="003A1DAA"/>
    <w:rsid w:val="003A3532"/>
    <w:rsid w:val="003A44B7"/>
    <w:rsid w:val="003A48ED"/>
    <w:rsid w:val="003A5B33"/>
    <w:rsid w:val="003A6051"/>
    <w:rsid w:val="003A6BDE"/>
    <w:rsid w:val="003A702D"/>
    <w:rsid w:val="003A72FC"/>
    <w:rsid w:val="003B0537"/>
    <w:rsid w:val="003B0EE2"/>
    <w:rsid w:val="003B1274"/>
    <w:rsid w:val="003B157F"/>
    <w:rsid w:val="003B1A33"/>
    <w:rsid w:val="003B1D51"/>
    <w:rsid w:val="003B21B4"/>
    <w:rsid w:val="003B244C"/>
    <w:rsid w:val="003B24CD"/>
    <w:rsid w:val="003B3126"/>
    <w:rsid w:val="003B3627"/>
    <w:rsid w:val="003B3857"/>
    <w:rsid w:val="003B3BDD"/>
    <w:rsid w:val="003B4151"/>
    <w:rsid w:val="003B5CFB"/>
    <w:rsid w:val="003B69DC"/>
    <w:rsid w:val="003C0595"/>
    <w:rsid w:val="003C0924"/>
    <w:rsid w:val="003C19C4"/>
    <w:rsid w:val="003C2570"/>
    <w:rsid w:val="003C28CC"/>
    <w:rsid w:val="003C2BD9"/>
    <w:rsid w:val="003C3074"/>
    <w:rsid w:val="003C3870"/>
    <w:rsid w:val="003C3A67"/>
    <w:rsid w:val="003C549A"/>
    <w:rsid w:val="003C65DC"/>
    <w:rsid w:val="003C6720"/>
    <w:rsid w:val="003C695D"/>
    <w:rsid w:val="003C6E8C"/>
    <w:rsid w:val="003C6F52"/>
    <w:rsid w:val="003C7DB2"/>
    <w:rsid w:val="003D0277"/>
    <w:rsid w:val="003D089A"/>
    <w:rsid w:val="003D123C"/>
    <w:rsid w:val="003D12E2"/>
    <w:rsid w:val="003D2535"/>
    <w:rsid w:val="003D2985"/>
    <w:rsid w:val="003D2A5C"/>
    <w:rsid w:val="003D351A"/>
    <w:rsid w:val="003D41C7"/>
    <w:rsid w:val="003D41F0"/>
    <w:rsid w:val="003D4226"/>
    <w:rsid w:val="003D5E3C"/>
    <w:rsid w:val="003D6580"/>
    <w:rsid w:val="003D6A70"/>
    <w:rsid w:val="003D7649"/>
    <w:rsid w:val="003D7EF1"/>
    <w:rsid w:val="003E0B73"/>
    <w:rsid w:val="003E0E17"/>
    <w:rsid w:val="003E17C8"/>
    <w:rsid w:val="003E2403"/>
    <w:rsid w:val="003E2B91"/>
    <w:rsid w:val="003E3644"/>
    <w:rsid w:val="003E3C05"/>
    <w:rsid w:val="003E3E66"/>
    <w:rsid w:val="003E4BC6"/>
    <w:rsid w:val="003E50D2"/>
    <w:rsid w:val="003E58AA"/>
    <w:rsid w:val="003E603B"/>
    <w:rsid w:val="003E61E7"/>
    <w:rsid w:val="003E6258"/>
    <w:rsid w:val="003E76BE"/>
    <w:rsid w:val="003E7A09"/>
    <w:rsid w:val="003F0980"/>
    <w:rsid w:val="003F0D2E"/>
    <w:rsid w:val="003F120C"/>
    <w:rsid w:val="003F21FD"/>
    <w:rsid w:val="003F23FD"/>
    <w:rsid w:val="003F3020"/>
    <w:rsid w:val="003F321F"/>
    <w:rsid w:val="003F33A6"/>
    <w:rsid w:val="003F3A01"/>
    <w:rsid w:val="003F3AF2"/>
    <w:rsid w:val="003F3E7E"/>
    <w:rsid w:val="003F3F2B"/>
    <w:rsid w:val="003F3F3A"/>
    <w:rsid w:val="003F41C7"/>
    <w:rsid w:val="003F475A"/>
    <w:rsid w:val="003F4DA1"/>
    <w:rsid w:val="003F6D41"/>
    <w:rsid w:val="003F7019"/>
    <w:rsid w:val="003F742E"/>
    <w:rsid w:val="003F79AA"/>
    <w:rsid w:val="003F7D63"/>
    <w:rsid w:val="00400D6F"/>
    <w:rsid w:val="00401915"/>
    <w:rsid w:val="00401961"/>
    <w:rsid w:val="004033C9"/>
    <w:rsid w:val="00403B33"/>
    <w:rsid w:val="00403E57"/>
    <w:rsid w:val="00403E95"/>
    <w:rsid w:val="004041B5"/>
    <w:rsid w:val="004041D7"/>
    <w:rsid w:val="004045B0"/>
    <w:rsid w:val="00404862"/>
    <w:rsid w:val="00404B19"/>
    <w:rsid w:val="004052F1"/>
    <w:rsid w:val="00405990"/>
    <w:rsid w:val="00405B52"/>
    <w:rsid w:val="00405D1D"/>
    <w:rsid w:val="00406722"/>
    <w:rsid w:val="00407870"/>
    <w:rsid w:val="004103FF"/>
    <w:rsid w:val="0041094F"/>
    <w:rsid w:val="00411327"/>
    <w:rsid w:val="00411471"/>
    <w:rsid w:val="00411B88"/>
    <w:rsid w:val="00412108"/>
    <w:rsid w:val="004121ED"/>
    <w:rsid w:val="004133AE"/>
    <w:rsid w:val="0041387E"/>
    <w:rsid w:val="004148A5"/>
    <w:rsid w:val="00414917"/>
    <w:rsid w:val="004149CC"/>
    <w:rsid w:val="00414AD7"/>
    <w:rsid w:val="00414BA7"/>
    <w:rsid w:val="00414E1C"/>
    <w:rsid w:val="00414EB9"/>
    <w:rsid w:val="004150E2"/>
    <w:rsid w:val="004157A1"/>
    <w:rsid w:val="00415C6A"/>
    <w:rsid w:val="00415D5C"/>
    <w:rsid w:val="00416725"/>
    <w:rsid w:val="004168DE"/>
    <w:rsid w:val="00416922"/>
    <w:rsid w:val="00417124"/>
    <w:rsid w:val="0041740D"/>
    <w:rsid w:val="004176B2"/>
    <w:rsid w:val="00417F6D"/>
    <w:rsid w:val="004204C4"/>
    <w:rsid w:val="00420FF0"/>
    <w:rsid w:val="00421823"/>
    <w:rsid w:val="004223AD"/>
    <w:rsid w:val="004223EA"/>
    <w:rsid w:val="00422E02"/>
    <w:rsid w:val="0042334A"/>
    <w:rsid w:val="00424C9F"/>
    <w:rsid w:val="00424F7E"/>
    <w:rsid w:val="00425629"/>
    <w:rsid w:val="00425676"/>
    <w:rsid w:val="00426F20"/>
    <w:rsid w:val="00427729"/>
    <w:rsid w:val="00427B8A"/>
    <w:rsid w:val="0043011F"/>
    <w:rsid w:val="0043024F"/>
    <w:rsid w:val="00431256"/>
    <w:rsid w:val="00432079"/>
    <w:rsid w:val="00432402"/>
    <w:rsid w:val="00432BA7"/>
    <w:rsid w:val="00432BD0"/>
    <w:rsid w:val="00432D15"/>
    <w:rsid w:val="00434045"/>
    <w:rsid w:val="004342FC"/>
    <w:rsid w:val="004351A2"/>
    <w:rsid w:val="004353D4"/>
    <w:rsid w:val="00435A80"/>
    <w:rsid w:val="004367C8"/>
    <w:rsid w:val="00436F42"/>
    <w:rsid w:val="0043709E"/>
    <w:rsid w:val="00437687"/>
    <w:rsid w:val="004379AC"/>
    <w:rsid w:val="004379DA"/>
    <w:rsid w:val="00437B90"/>
    <w:rsid w:val="00437D1D"/>
    <w:rsid w:val="004417D8"/>
    <w:rsid w:val="0044190C"/>
    <w:rsid w:val="00441AC2"/>
    <w:rsid w:val="004437F7"/>
    <w:rsid w:val="00443F76"/>
    <w:rsid w:val="00444CFA"/>
    <w:rsid w:val="004460F9"/>
    <w:rsid w:val="0044614D"/>
    <w:rsid w:val="00446604"/>
    <w:rsid w:val="00446BA9"/>
    <w:rsid w:val="00446C10"/>
    <w:rsid w:val="00446D07"/>
    <w:rsid w:val="00446D11"/>
    <w:rsid w:val="00446E9E"/>
    <w:rsid w:val="004470C4"/>
    <w:rsid w:val="00450912"/>
    <w:rsid w:val="00450DED"/>
    <w:rsid w:val="004515E3"/>
    <w:rsid w:val="00451F6A"/>
    <w:rsid w:val="00452130"/>
    <w:rsid w:val="00452DC9"/>
    <w:rsid w:val="004546D5"/>
    <w:rsid w:val="00454AEF"/>
    <w:rsid w:val="004551C9"/>
    <w:rsid w:val="00456941"/>
    <w:rsid w:val="00456E49"/>
    <w:rsid w:val="00457C6D"/>
    <w:rsid w:val="004600EC"/>
    <w:rsid w:val="00460DFA"/>
    <w:rsid w:val="00461154"/>
    <w:rsid w:val="004611E6"/>
    <w:rsid w:val="004628B2"/>
    <w:rsid w:val="00462D73"/>
    <w:rsid w:val="0046324A"/>
    <w:rsid w:val="00463CC9"/>
    <w:rsid w:val="00464106"/>
    <w:rsid w:val="004648F0"/>
    <w:rsid w:val="00464ECF"/>
    <w:rsid w:val="004656E4"/>
    <w:rsid w:val="004663F4"/>
    <w:rsid w:val="00466C41"/>
    <w:rsid w:val="0046727E"/>
    <w:rsid w:val="00470246"/>
    <w:rsid w:val="00470803"/>
    <w:rsid w:val="004712A0"/>
    <w:rsid w:val="00471311"/>
    <w:rsid w:val="004715E1"/>
    <w:rsid w:val="00471DF0"/>
    <w:rsid w:val="00472D20"/>
    <w:rsid w:val="00472F4C"/>
    <w:rsid w:val="00472FF8"/>
    <w:rsid w:val="004734EA"/>
    <w:rsid w:val="00473DCC"/>
    <w:rsid w:val="00474933"/>
    <w:rsid w:val="00474A3D"/>
    <w:rsid w:val="00475C6B"/>
    <w:rsid w:val="00476101"/>
    <w:rsid w:val="0047699A"/>
    <w:rsid w:val="00476BB9"/>
    <w:rsid w:val="00476F3F"/>
    <w:rsid w:val="0047715A"/>
    <w:rsid w:val="00477247"/>
    <w:rsid w:val="00477C12"/>
    <w:rsid w:val="00480B0A"/>
    <w:rsid w:val="00481FB4"/>
    <w:rsid w:val="00482210"/>
    <w:rsid w:val="004825A5"/>
    <w:rsid w:val="0048278C"/>
    <w:rsid w:val="00482962"/>
    <w:rsid w:val="00482FDE"/>
    <w:rsid w:val="0048350D"/>
    <w:rsid w:val="004837CE"/>
    <w:rsid w:val="00483AD0"/>
    <w:rsid w:val="00483F0A"/>
    <w:rsid w:val="00484506"/>
    <w:rsid w:val="004846A8"/>
    <w:rsid w:val="00484CB0"/>
    <w:rsid w:val="00485FA3"/>
    <w:rsid w:val="004872BE"/>
    <w:rsid w:val="0048756F"/>
    <w:rsid w:val="00487AA0"/>
    <w:rsid w:val="00487F49"/>
    <w:rsid w:val="00487F4C"/>
    <w:rsid w:val="0049076F"/>
    <w:rsid w:val="0049096E"/>
    <w:rsid w:val="00492BC2"/>
    <w:rsid w:val="004932DB"/>
    <w:rsid w:val="0049362A"/>
    <w:rsid w:val="00493C2B"/>
    <w:rsid w:val="00496BFB"/>
    <w:rsid w:val="00496E12"/>
    <w:rsid w:val="00496E91"/>
    <w:rsid w:val="00496FEB"/>
    <w:rsid w:val="004971BD"/>
    <w:rsid w:val="00497328"/>
    <w:rsid w:val="00497F0C"/>
    <w:rsid w:val="004A1356"/>
    <w:rsid w:val="004A1442"/>
    <w:rsid w:val="004A1A7E"/>
    <w:rsid w:val="004A1EB8"/>
    <w:rsid w:val="004A210D"/>
    <w:rsid w:val="004A21EC"/>
    <w:rsid w:val="004A2BEC"/>
    <w:rsid w:val="004A2E24"/>
    <w:rsid w:val="004A470C"/>
    <w:rsid w:val="004A48DD"/>
    <w:rsid w:val="004A6176"/>
    <w:rsid w:val="004A6F85"/>
    <w:rsid w:val="004A7943"/>
    <w:rsid w:val="004A7B0A"/>
    <w:rsid w:val="004B08FD"/>
    <w:rsid w:val="004B0CB4"/>
    <w:rsid w:val="004B1582"/>
    <w:rsid w:val="004B1821"/>
    <w:rsid w:val="004B4F67"/>
    <w:rsid w:val="004B5950"/>
    <w:rsid w:val="004B5A99"/>
    <w:rsid w:val="004B5B0D"/>
    <w:rsid w:val="004B607A"/>
    <w:rsid w:val="004B6CD2"/>
    <w:rsid w:val="004B6D6C"/>
    <w:rsid w:val="004B7490"/>
    <w:rsid w:val="004B795F"/>
    <w:rsid w:val="004B7B55"/>
    <w:rsid w:val="004C0024"/>
    <w:rsid w:val="004C1311"/>
    <w:rsid w:val="004C225E"/>
    <w:rsid w:val="004C2C33"/>
    <w:rsid w:val="004C2FFB"/>
    <w:rsid w:val="004C3077"/>
    <w:rsid w:val="004C35BD"/>
    <w:rsid w:val="004C371F"/>
    <w:rsid w:val="004C3F2A"/>
    <w:rsid w:val="004C436C"/>
    <w:rsid w:val="004C4724"/>
    <w:rsid w:val="004C47B0"/>
    <w:rsid w:val="004C680B"/>
    <w:rsid w:val="004C7055"/>
    <w:rsid w:val="004C7276"/>
    <w:rsid w:val="004D127A"/>
    <w:rsid w:val="004D1681"/>
    <w:rsid w:val="004D1797"/>
    <w:rsid w:val="004D1A1E"/>
    <w:rsid w:val="004D1C35"/>
    <w:rsid w:val="004D1FEB"/>
    <w:rsid w:val="004D2B75"/>
    <w:rsid w:val="004D2DCD"/>
    <w:rsid w:val="004D350E"/>
    <w:rsid w:val="004D35FD"/>
    <w:rsid w:val="004D4902"/>
    <w:rsid w:val="004D514A"/>
    <w:rsid w:val="004D64A9"/>
    <w:rsid w:val="004D688C"/>
    <w:rsid w:val="004D6BD2"/>
    <w:rsid w:val="004D726D"/>
    <w:rsid w:val="004D77D8"/>
    <w:rsid w:val="004D79A1"/>
    <w:rsid w:val="004E07D0"/>
    <w:rsid w:val="004E0D08"/>
    <w:rsid w:val="004E1452"/>
    <w:rsid w:val="004E2694"/>
    <w:rsid w:val="004E2872"/>
    <w:rsid w:val="004E2E3F"/>
    <w:rsid w:val="004E2EC6"/>
    <w:rsid w:val="004E3143"/>
    <w:rsid w:val="004E377B"/>
    <w:rsid w:val="004E3836"/>
    <w:rsid w:val="004E40CA"/>
    <w:rsid w:val="004E4CAA"/>
    <w:rsid w:val="004E4DA5"/>
    <w:rsid w:val="004E4F43"/>
    <w:rsid w:val="004E7BB9"/>
    <w:rsid w:val="004F01C7"/>
    <w:rsid w:val="004F1061"/>
    <w:rsid w:val="004F1120"/>
    <w:rsid w:val="004F176F"/>
    <w:rsid w:val="004F1979"/>
    <w:rsid w:val="004F1FF9"/>
    <w:rsid w:val="004F2240"/>
    <w:rsid w:val="004F29B2"/>
    <w:rsid w:val="004F3B6C"/>
    <w:rsid w:val="004F3E14"/>
    <w:rsid w:val="004F43CA"/>
    <w:rsid w:val="004F4D08"/>
    <w:rsid w:val="004F5968"/>
    <w:rsid w:val="004F616C"/>
    <w:rsid w:val="004F6B42"/>
    <w:rsid w:val="004F7711"/>
    <w:rsid w:val="0050030E"/>
    <w:rsid w:val="00501C8F"/>
    <w:rsid w:val="00502C94"/>
    <w:rsid w:val="00502F80"/>
    <w:rsid w:val="005032F0"/>
    <w:rsid w:val="00503326"/>
    <w:rsid w:val="00504E83"/>
    <w:rsid w:val="00505C60"/>
    <w:rsid w:val="00505F08"/>
    <w:rsid w:val="00506D20"/>
    <w:rsid w:val="00506EEC"/>
    <w:rsid w:val="00507172"/>
    <w:rsid w:val="005100D9"/>
    <w:rsid w:val="005106C2"/>
    <w:rsid w:val="00510FA4"/>
    <w:rsid w:val="00513D5E"/>
    <w:rsid w:val="00513F88"/>
    <w:rsid w:val="00515868"/>
    <w:rsid w:val="00515F05"/>
    <w:rsid w:val="005164D4"/>
    <w:rsid w:val="00517D70"/>
    <w:rsid w:val="005206BD"/>
    <w:rsid w:val="0052133D"/>
    <w:rsid w:val="0052411A"/>
    <w:rsid w:val="00524EDB"/>
    <w:rsid w:val="0052583F"/>
    <w:rsid w:val="005261D5"/>
    <w:rsid w:val="005263B7"/>
    <w:rsid w:val="00526AB8"/>
    <w:rsid w:val="00531247"/>
    <w:rsid w:val="005315D3"/>
    <w:rsid w:val="005318D6"/>
    <w:rsid w:val="00531956"/>
    <w:rsid w:val="00532923"/>
    <w:rsid w:val="00532FE4"/>
    <w:rsid w:val="005335CE"/>
    <w:rsid w:val="00533732"/>
    <w:rsid w:val="00534534"/>
    <w:rsid w:val="00534A1D"/>
    <w:rsid w:val="005352D4"/>
    <w:rsid w:val="005352F0"/>
    <w:rsid w:val="00535A2A"/>
    <w:rsid w:val="00535A92"/>
    <w:rsid w:val="005366F9"/>
    <w:rsid w:val="0053685D"/>
    <w:rsid w:val="00537721"/>
    <w:rsid w:val="00537864"/>
    <w:rsid w:val="00537B0D"/>
    <w:rsid w:val="00537BEC"/>
    <w:rsid w:val="00540278"/>
    <w:rsid w:val="00541D15"/>
    <w:rsid w:val="00542EAD"/>
    <w:rsid w:val="00544062"/>
    <w:rsid w:val="005442AE"/>
    <w:rsid w:val="00544964"/>
    <w:rsid w:val="005449F7"/>
    <w:rsid w:val="00545C50"/>
    <w:rsid w:val="00545D0A"/>
    <w:rsid w:val="00546042"/>
    <w:rsid w:val="00546E39"/>
    <w:rsid w:val="00547638"/>
    <w:rsid w:val="00547B69"/>
    <w:rsid w:val="00547D08"/>
    <w:rsid w:val="00550432"/>
    <w:rsid w:val="00550516"/>
    <w:rsid w:val="005505BC"/>
    <w:rsid w:val="00550CCE"/>
    <w:rsid w:val="005515E6"/>
    <w:rsid w:val="00552811"/>
    <w:rsid w:val="00553B0F"/>
    <w:rsid w:val="00554828"/>
    <w:rsid w:val="00554CC9"/>
    <w:rsid w:val="005551DD"/>
    <w:rsid w:val="0055569F"/>
    <w:rsid w:val="005560EB"/>
    <w:rsid w:val="005564D9"/>
    <w:rsid w:val="00556B78"/>
    <w:rsid w:val="00557610"/>
    <w:rsid w:val="00557748"/>
    <w:rsid w:val="005579B9"/>
    <w:rsid w:val="00557E91"/>
    <w:rsid w:val="00557ED3"/>
    <w:rsid w:val="00560960"/>
    <w:rsid w:val="00560FB8"/>
    <w:rsid w:val="005610BB"/>
    <w:rsid w:val="005610DD"/>
    <w:rsid w:val="0056128B"/>
    <w:rsid w:val="00561BB3"/>
    <w:rsid w:val="005627AF"/>
    <w:rsid w:val="0056339B"/>
    <w:rsid w:val="0056386E"/>
    <w:rsid w:val="00563FA4"/>
    <w:rsid w:val="00564295"/>
    <w:rsid w:val="00564468"/>
    <w:rsid w:val="005647F2"/>
    <w:rsid w:val="00564A29"/>
    <w:rsid w:val="00564EC3"/>
    <w:rsid w:val="00565510"/>
    <w:rsid w:val="005658BA"/>
    <w:rsid w:val="00565902"/>
    <w:rsid w:val="005664A5"/>
    <w:rsid w:val="00566D54"/>
    <w:rsid w:val="00570867"/>
    <w:rsid w:val="0057088D"/>
    <w:rsid w:val="005715F7"/>
    <w:rsid w:val="00571781"/>
    <w:rsid w:val="00571D3A"/>
    <w:rsid w:val="00572497"/>
    <w:rsid w:val="00573724"/>
    <w:rsid w:val="00573DCE"/>
    <w:rsid w:val="005756CE"/>
    <w:rsid w:val="00576558"/>
    <w:rsid w:val="00576E52"/>
    <w:rsid w:val="00576EA2"/>
    <w:rsid w:val="00577A63"/>
    <w:rsid w:val="00577C0A"/>
    <w:rsid w:val="00577DB6"/>
    <w:rsid w:val="00577F7D"/>
    <w:rsid w:val="00577FFC"/>
    <w:rsid w:val="0058072D"/>
    <w:rsid w:val="005813CB"/>
    <w:rsid w:val="00581968"/>
    <w:rsid w:val="00581985"/>
    <w:rsid w:val="00582855"/>
    <w:rsid w:val="00582F3F"/>
    <w:rsid w:val="00582F6A"/>
    <w:rsid w:val="0058393A"/>
    <w:rsid w:val="005840DD"/>
    <w:rsid w:val="005842A4"/>
    <w:rsid w:val="00584727"/>
    <w:rsid w:val="00584A9E"/>
    <w:rsid w:val="00584D30"/>
    <w:rsid w:val="00585EEC"/>
    <w:rsid w:val="00585F8F"/>
    <w:rsid w:val="005868C2"/>
    <w:rsid w:val="00586D43"/>
    <w:rsid w:val="00586EFF"/>
    <w:rsid w:val="00587851"/>
    <w:rsid w:val="00587A09"/>
    <w:rsid w:val="00587DE0"/>
    <w:rsid w:val="00590A9B"/>
    <w:rsid w:val="00590D92"/>
    <w:rsid w:val="005911B9"/>
    <w:rsid w:val="00592620"/>
    <w:rsid w:val="00592982"/>
    <w:rsid w:val="00596438"/>
    <w:rsid w:val="00596E00"/>
    <w:rsid w:val="00597F18"/>
    <w:rsid w:val="005A01D9"/>
    <w:rsid w:val="005A0C8B"/>
    <w:rsid w:val="005A1D5C"/>
    <w:rsid w:val="005A284D"/>
    <w:rsid w:val="005A2FE2"/>
    <w:rsid w:val="005A2FEC"/>
    <w:rsid w:val="005A3056"/>
    <w:rsid w:val="005A332F"/>
    <w:rsid w:val="005A38AA"/>
    <w:rsid w:val="005A3B42"/>
    <w:rsid w:val="005A3D3D"/>
    <w:rsid w:val="005A4CA7"/>
    <w:rsid w:val="005A565A"/>
    <w:rsid w:val="005A58BE"/>
    <w:rsid w:val="005A6172"/>
    <w:rsid w:val="005A7676"/>
    <w:rsid w:val="005A7C62"/>
    <w:rsid w:val="005B0406"/>
    <w:rsid w:val="005B078C"/>
    <w:rsid w:val="005B12CC"/>
    <w:rsid w:val="005B1B16"/>
    <w:rsid w:val="005B2C85"/>
    <w:rsid w:val="005B325C"/>
    <w:rsid w:val="005B3817"/>
    <w:rsid w:val="005B3FEB"/>
    <w:rsid w:val="005B4450"/>
    <w:rsid w:val="005B46C2"/>
    <w:rsid w:val="005B4A5D"/>
    <w:rsid w:val="005B6258"/>
    <w:rsid w:val="005B6C0E"/>
    <w:rsid w:val="005B6F3A"/>
    <w:rsid w:val="005B7001"/>
    <w:rsid w:val="005B786F"/>
    <w:rsid w:val="005C02EE"/>
    <w:rsid w:val="005C0A10"/>
    <w:rsid w:val="005C0EA8"/>
    <w:rsid w:val="005C19DC"/>
    <w:rsid w:val="005C2932"/>
    <w:rsid w:val="005C2D3B"/>
    <w:rsid w:val="005C3545"/>
    <w:rsid w:val="005C3714"/>
    <w:rsid w:val="005C41E6"/>
    <w:rsid w:val="005C429F"/>
    <w:rsid w:val="005C43F0"/>
    <w:rsid w:val="005C460A"/>
    <w:rsid w:val="005C4E33"/>
    <w:rsid w:val="005C4F16"/>
    <w:rsid w:val="005C5A2A"/>
    <w:rsid w:val="005C5C03"/>
    <w:rsid w:val="005C5DBB"/>
    <w:rsid w:val="005C5DC3"/>
    <w:rsid w:val="005C6E4A"/>
    <w:rsid w:val="005C790A"/>
    <w:rsid w:val="005C7A35"/>
    <w:rsid w:val="005C7E6D"/>
    <w:rsid w:val="005D00F3"/>
    <w:rsid w:val="005D07E3"/>
    <w:rsid w:val="005D18A1"/>
    <w:rsid w:val="005D2DD0"/>
    <w:rsid w:val="005D33DD"/>
    <w:rsid w:val="005D3471"/>
    <w:rsid w:val="005D391F"/>
    <w:rsid w:val="005D3967"/>
    <w:rsid w:val="005D3B52"/>
    <w:rsid w:val="005D48C3"/>
    <w:rsid w:val="005D4D55"/>
    <w:rsid w:val="005D586A"/>
    <w:rsid w:val="005D5A03"/>
    <w:rsid w:val="005D614C"/>
    <w:rsid w:val="005D6960"/>
    <w:rsid w:val="005D6A31"/>
    <w:rsid w:val="005D7645"/>
    <w:rsid w:val="005D7D2A"/>
    <w:rsid w:val="005E1D1E"/>
    <w:rsid w:val="005E2B58"/>
    <w:rsid w:val="005E3337"/>
    <w:rsid w:val="005E3BC6"/>
    <w:rsid w:val="005E3EF5"/>
    <w:rsid w:val="005E3F82"/>
    <w:rsid w:val="005E4EB6"/>
    <w:rsid w:val="005E5116"/>
    <w:rsid w:val="005E618A"/>
    <w:rsid w:val="005E6FB5"/>
    <w:rsid w:val="005E6FF9"/>
    <w:rsid w:val="005F047B"/>
    <w:rsid w:val="005F04E9"/>
    <w:rsid w:val="005F0C1B"/>
    <w:rsid w:val="005F19C3"/>
    <w:rsid w:val="005F23F4"/>
    <w:rsid w:val="005F294A"/>
    <w:rsid w:val="005F29D9"/>
    <w:rsid w:val="005F2A2F"/>
    <w:rsid w:val="005F2C91"/>
    <w:rsid w:val="005F31EB"/>
    <w:rsid w:val="005F39D5"/>
    <w:rsid w:val="005F3A21"/>
    <w:rsid w:val="005F4330"/>
    <w:rsid w:val="005F4533"/>
    <w:rsid w:val="005F46A2"/>
    <w:rsid w:val="005F4956"/>
    <w:rsid w:val="005F4E20"/>
    <w:rsid w:val="005F582E"/>
    <w:rsid w:val="005F6ABB"/>
    <w:rsid w:val="005F6BB4"/>
    <w:rsid w:val="005F70A2"/>
    <w:rsid w:val="005F74F0"/>
    <w:rsid w:val="005F760C"/>
    <w:rsid w:val="00600961"/>
    <w:rsid w:val="006011A7"/>
    <w:rsid w:val="006013CB"/>
    <w:rsid w:val="00601830"/>
    <w:rsid w:val="00602C75"/>
    <w:rsid w:val="00602DC8"/>
    <w:rsid w:val="006030F7"/>
    <w:rsid w:val="006035F7"/>
    <w:rsid w:val="00604559"/>
    <w:rsid w:val="006047CC"/>
    <w:rsid w:val="006049D1"/>
    <w:rsid w:val="00604C4C"/>
    <w:rsid w:val="00610234"/>
    <w:rsid w:val="00610410"/>
    <w:rsid w:val="00612960"/>
    <w:rsid w:val="0061356D"/>
    <w:rsid w:val="00613BA9"/>
    <w:rsid w:val="00614146"/>
    <w:rsid w:val="00614976"/>
    <w:rsid w:val="00614CAD"/>
    <w:rsid w:val="00615801"/>
    <w:rsid w:val="00615EE1"/>
    <w:rsid w:val="00615F04"/>
    <w:rsid w:val="006169C8"/>
    <w:rsid w:val="00616A86"/>
    <w:rsid w:val="00616C8E"/>
    <w:rsid w:val="00616E42"/>
    <w:rsid w:val="00617815"/>
    <w:rsid w:val="006178C5"/>
    <w:rsid w:val="00617B81"/>
    <w:rsid w:val="00620A8A"/>
    <w:rsid w:val="00620C62"/>
    <w:rsid w:val="00621218"/>
    <w:rsid w:val="00621D6A"/>
    <w:rsid w:val="00623B8C"/>
    <w:rsid w:val="00624ED2"/>
    <w:rsid w:val="0062613F"/>
    <w:rsid w:val="00626190"/>
    <w:rsid w:val="006264BB"/>
    <w:rsid w:val="00626510"/>
    <w:rsid w:val="00626B7E"/>
    <w:rsid w:val="00627C9D"/>
    <w:rsid w:val="00630987"/>
    <w:rsid w:val="00630EBE"/>
    <w:rsid w:val="00630F69"/>
    <w:rsid w:val="00630F6B"/>
    <w:rsid w:val="0063116E"/>
    <w:rsid w:val="0063143B"/>
    <w:rsid w:val="00631B38"/>
    <w:rsid w:val="00632D05"/>
    <w:rsid w:val="00634676"/>
    <w:rsid w:val="00634A20"/>
    <w:rsid w:val="00635085"/>
    <w:rsid w:val="00635280"/>
    <w:rsid w:val="006354BB"/>
    <w:rsid w:val="00635D62"/>
    <w:rsid w:val="00636700"/>
    <w:rsid w:val="00636AE5"/>
    <w:rsid w:val="00636C98"/>
    <w:rsid w:val="00640588"/>
    <w:rsid w:val="00640C6B"/>
    <w:rsid w:val="006413E1"/>
    <w:rsid w:val="00641502"/>
    <w:rsid w:val="00641E56"/>
    <w:rsid w:val="006427C3"/>
    <w:rsid w:val="00643320"/>
    <w:rsid w:val="00643896"/>
    <w:rsid w:val="00643DC5"/>
    <w:rsid w:val="00644FEF"/>
    <w:rsid w:val="006462A1"/>
    <w:rsid w:val="006465B3"/>
    <w:rsid w:val="006470A6"/>
    <w:rsid w:val="006475D8"/>
    <w:rsid w:val="00647C0A"/>
    <w:rsid w:val="00650E57"/>
    <w:rsid w:val="0065163E"/>
    <w:rsid w:val="006519D0"/>
    <w:rsid w:val="00651A9E"/>
    <w:rsid w:val="006521D7"/>
    <w:rsid w:val="006528D4"/>
    <w:rsid w:val="00653432"/>
    <w:rsid w:val="00653FCB"/>
    <w:rsid w:val="00654D6B"/>
    <w:rsid w:val="00655A6D"/>
    <w:rsid w:val="006564B4"/>
    <w:rsid w:val="00656CCE"/>
    <w:rsid w:val="00656E14"/>
    <w:rsid w:val="006574C0"/>
    <w:rsid w:val="006574E7"/>
    <w:rsid w:val="0065790A"/>
    <w:rsid w:val="00657A5D"/>
    <w:rsid w:val="00660BDF"/>
    <w:rsid w:val="0066115B"/>
    <w:rsid w:val="0066134C"/>
    <w:rsid w:val="00661999"/>
    <w:rsid w:val="00662804"/>
    <w:rsid w:val="00662C6E"/>
    <w:rsid w:val="00663B7B"/>
    <w:rsid w:val="00663BFF"/>
    <w:rsid w:val="006654AC"/>
    <w:rsid w:val="00665AF2"/>
    <w:rsid w:val="00665B23"/>
    <w:rsid w:val="00666734"/>
    <w:rsid w:val="006673BF"/>
    <w:rsid w:val="006701CE"/>
    <w:rsid w:val="00670330"/>
    <w:rsid w:val="006703D9"/>
    <w:rsid w:val="0067203E"/>
    <w:rsid w:val="006720B4"/>
    <w:rsid w:val="00672F81"/>
    <w:rsid w:val="006753E0"/>
    <w:rsid w:val="00675721"/>
    <w:rsid w:val="00676BA3"/>
    <w:rsid w:val="0067705D"/>
    <w:rsid w:val="00677418"/>
    <w:rsid w:val="00680267"/>
    <w:rsid w:val="006803AA"/>
    <w:rsid w:val="00680539"/>
    <w:rsid w:val="0068114C"/>
    <w:rsid w:val="0068154E"/>
    <w:rsid w:val="00681D77"/>
    <w:rsid w:val="00682298"/>
    <w:rsid w:val="00682A81"/>
    <w:rsid w:val="0068313E"/>
    <w:rsid w:val="0068345D"/>
    <w:rsid w:val="00684159"/>
    <w:rsid w:val="0068417F"/>
    <w:rsid w:val="0068433E"/>
    <w:rsid w:val="00684DEA"/>
    <w:rsid w:val="00686192"/>
    <w:rsid w:val="00686256"/>
    <w:rsid w:val="00686998"/>
    <w:rsid w:val="00686B3A"/>
    <w:rsid w:val="006871DF"/>
    <w:rsid w:val="006877D7"/>
    <w:rsid w:val="00687D37"/>
    <w:rsid w:val="0069017F"/>
    <w:rsid w:val="0069024E"/>
    <w:rsid w:val="00690BC5"/>
    <w:rsid w:val="006912DE"/>
    <w:rsid w:val="00691F0C"/>
    <w:rsid w:val="006935D0"/>
    <w:rsid w:val="0069364D"/>
    <w:rsid w:val="00694607"/>
    <w:rsid w:val="00694A0D"/>
    <w:rsid w:val="00695089"/>
    <w:rsid w:val="0069516B"/>
    <w:rsid w:val="00695177"/>
    <w:rsid w:val="00696050"/>
    <w:rsid w:val="00696275"/>
    <w:rsid w:val="006966AB"/>
    <w:rsid w:val="0069718B"/>
    <w:rsid w:val="00697CC3"/>
    <w:rsid w:val="00697CCC"/>
    <w:rsid w:val="00697F34"/>
    <w:rsid w:val="00697F64"/>
    <w:rsid w:val="006A0452"/>
    <w:rsid w:val="006A0833"/>
    <w:rsid w:val="006A0860"/>
    <w:rsid w:val="006A0960"/>
    <w:rsid w:val="006A0F3D"/>
    <w:rsid w:val="006A1199"/>
    <w:rsid w:val="006A1BAD"/>
    <w:rsid w:val="006A2624"/>
    <w:rsid w:val="006A3B73"/>
    <w:rsid w:val="006A4AE1"/>
    <w:rsid w:val="006A4F28"/>
    <w:rsid w:val="006A5C28"/>
    <w:rsid w:val="006A663D"/>
    <w:rsid w:val="006A6860"/>
    <w:rsid w:val="006A7BB8"/>
    <w:rsid w:val="006A7DD7"/>
    <w:rsid w:val="006B00BB"/>
    <w:rsid w:val="006B026A"/>
    <w:rsid w:val="006B0386"/>
    <w:rsid w:val="006B058D"/>
    <w:rsid w:val="006B12AE"/>
    <w:rsid w:val="006B3C8D"/>
    <w:rsid w:val="006B3CFA"/>
    <w:rsid w:val="006B4476"/>
    <w:rsid w:val="006B4B89"/>
    <w:rsid w:val="006B4ED5"/>
    <w:rsid w:val="006B6A3D"/>
    <w:rsid w:val="006B7947"/>
    <w:rsid w:val="006C0826"/>
    <w:rsid w:val="006C0BB7"/>
    <w:rsid w:val="006C15DE"/>
    <w:rsid w:val="006C1A95"/>
    <w:rsid w:val="006C1BB4"/>
    <w:rsid w:val="006C2A22"/>
    <w:rsid w:val="006C3182"/>
    <w:rsid w:val="006C31D5"/>
    <w:rsid w:val="006C34E3"/>
    <w:rsid w:val="006C426C"/>
    <w:rsid w:val="006C440C"/>
    <w:rsid w:val="006C4CE2"/>
    <w:rsid w:val="006C5309"/>
    <w:rsid w:val="006C5557"/>
    <w:rsid w:val="006C5A7F"/>
    <w:rsid w:val="006C5E76"/>
    <w:rsid w:val="006C5F6F"/>
    <w:rsid w:val="006C637C"/>
    <w:rsid w:val="006C6935"/>
    <w:rsid w:val="006C695E"/>
    <w:rsid w:val="006C6DA0"/>
    <w:rsid w:val="006C7453"/>
    <w:rsid w:val="006C7F27"/>
    <w:rsid w:val="006D150C"/>
    <w:rsid w:val="006D1876"/>
    <w:rsid w:val="006D1DE9"/>
    <w:rsid w:val="006D30E5"/>
    <w:rsid w:val="006D39A7"/>
    <w:rsid w:val="006D4A0B"/>
    <w:rsid w:val="006D4CDF"/>
    <w:rsid w:val="006D50AF"/>
    <w:rsid w:val="006D5791"/>
    <w:rsid w:val="006D5CC6"/>
    <w:rsid w:val="006D60AA"/>
    <w:rsid w:val="006D6C1A"/>
    <w:rsid w:val="006D6DE7"/>
    <w:rsid w:val="006D72B9"/>
    <w:rsid w:val="006D7544"/>
    <w:rsid w:val="006D755D"/>
    <w:rsid w:val="006D7D44"/>
    <w:rsid w:val="006E04CF"/>
    <w:rsid w:val="006E0B94"/>
    <w:rsid w:val="006E10BE"/>
    <w:rsid w:val="006E135D"/>
    <w:rsid w:val="006E192B"/>
    <w:rsid w:val="006E211E"/>
    <w:rsid w:val="006E27EB"/>
    <w:rsid w:val="006E2B21"/>
    <w:rsid w:val="006E31DD"/>
    <w:rsid w:val="006E37C7"/>
    <w:rsid w:val="006E3C18"/>
    <w:rsid w:val="006E408A"/>
    <w:rsid w:val="006E46E9"/>
    <w:rsid w:val="006E49FC"/>
    <w:rsid w:val="006E4F20"/>
    <w:rsid w:val="006E5464"/>
    <w:rsid w:val="006E6DBA"/>
    <w:rsid w:val="006E752E"/>
    <w:rsid w:val="006F1131"/>
    <w:rsid w:val="006F1DE9"/>
    <w:rsid w:val="006F24E3"/>
    <w:rsid w:val="006F2BBE"/>
    <w:rsid w:val="006F3632"/>
    <w:rsid w:val="006F3E5F"/>
    <w:rsid w:val="006F41E6"/>
    <w:rsid w:val="006F45F0"/>
    <w:rsid w:val="006F4840"/>
    <w:rsid w:val="006F4D11"/>
    <w:rsid w:val="006F4DA9"/>
    <w:rsid w:val="006F65A6"/>
    <w:rsid w:val="006F679E"/>
    <w:rsid w:val="006F6829"/>
    <w:rsid w:val="006F73F0"/>
    <w:rsid w:val="006F766B"/>
    <w:rsid w:val="006F7706"/>
    <w:rsid w:val="007001C6"/>
    <w:rsid w:val="007009B1"/>
    <w:rsid w:val="0070134F"/>
    <w:rsid w:val="0070320E"/>
    <w:rsid w:val="00703E1B"/>
    <w:rsid w:val="00704E1A"/>
    <w:rsid w:val="0070592F"/>
    <w:rsid w:val="00705F27"/>
    <w:rsid w:val="007063C2"/>
    <w:rsid w:val="0070647B"/>
    <w:rsid w:val="00706581"/>
    <w:rsid w:val="00706DDA"/>
    <w:rsid w:val="00706FEC"/>
    <w:rsid w:val="00707178"/>
    <w:rsid w:val="0070726A"/>
    <w:rsid w:val="007073BE"/>
    <w:rsid w:val="00707606"/>
    <w:rsid w:val="007077BB"/>
    <w:rsid w:val="0071048E"/>
    <w:rsid w:val="007108BC"/>
    <w:rsid w:val="00710C82"/>
    <w:rsid w:val="007110FF"/>
    <w:rsid w:val="00711B2A"/>
    <w:rsid w:val="00711E74"/>
    <w:rsid w:val="00711FA8"/>
    <w:rsid w:val="0071215B"/>
    <w:rsid w:val="0071216E"/>
    <w:rsid w:val="00712360"/>
    <w:rsid w:val="00712A04"/>
    <w:rsid w:val="007130B4"/>
    <w:rsid w:val="00713B5A"/>
    <w:rsid w:val="007140F7"/>
    <w:rsid w:val="00714556"/>
    <w:rsid w:val="00714E3A"/>
    <w:rsid w:val="0071645F"/>
    <w:rsid w:val="00716517"/>
    <w:rsid w:val="00716C36"/>
    <w:rsid w:val="007177EA"/>
    <w:rsid w:val="007204E6"/>
    <w:rsid w:val="00722088"/>
    <w:rsid w:val="00722DB9"/>
    <w:rsid w:val="00723639"/>
    <w:rsid w:val="00723BA5"/>
    <w:rsid w:val="00723E92"/>
    <w:rsid w:val="0072516B"/>
    <w:rsid w:val="00725974"/>
    <w:rsid w:val="00726D61"/>
    <w:rsid w:val="0072728A"/>
    <w:rsid w:val="00727555"/>
    <w:rsid w:val="00727CD8"/>
    <w:rsid w:val="00730252"/>
    <w:rsid w:val="00730387"/>
    <w:rsid w:val="007303C4"/>
    <w:rsid w:val="0073072E"/>
    <w:rsid w:val="0073076A"/>
    <w:rsid w:val="00731614"/>
    <w:rsid w:val="0073194A"/>
    <w:rsid w:val="00731B46"/>
    <w:rsid w:val="007320B0"/>
    <w:rsid w:val="0073350C"/>
    <w:rsid w:val="00733833"/>
    <w:rsid w:val="00734F12"/>
    <w:rsid w:val="00735619"/>
    <w:rsid w:val="00735C81"/>
    <w:rsid w:val="007361DF"/>
    <w:rsid w:val="007369C2"/>
    <w:rsid w:val="00736CDF"/>
    <w:rsid w:val="0073769D"/>
    <w:rsid w:val="00737A83"/>
    <w:rsid w:val="007403D0"/>
    <w:rsid w:val="007406B9"/>
    <w:rsid w:val="007409DC"/>
    <w:rsid w:val="00740AFF"/>
    <w:rsid w:val="007413D1"/>
    <w:rsid w:val="007414DA"/>
    <w:rsid w:val="007425C7"/>
    <w:rsid w:val="0074292C"/>
    <w:rsid w:val="007432E6"/>
    <w:rsid w:val="00745B6A"/>
    <w:rsid w:val="00746DE9"/>
    <w:rsid w:val="00747101"/>
    <w:rsid w:val="007471D2"/>
    <w:rsid w:val="007479B4"/>
    <w:rsid w:val="00750C43"/>
    <w:rsid w:val="007512A6"/>
    <w:rsid w:val="00752D3D"/>
    <w:rsid w:val="00752FAD"/>
    <w:rsid w:val="007532E9"/>
    <w:rsid w:val="007533AE"/>
    <w:rsid w:val="007534C7"/>
    <w:rsid w:val="00753738"/>
    <w:rsid w:val="007540C9"/>
    <w:rsid w:val="00754121"/>
    <w:rsid w:val="00754215"/>
    <w:rsid w:val="00754741"/>
    <w:rsid w:val="00754C05"/>
    <w:rsid w:val="00754F7C"/>
    <w:rsid w:val="0075511E"/>
    <w:rsid w:val="00755168"/>
    <w:rsid w:val="00756342"/>
    <w:rsid w:val="00756849"/>
    <w:rsid w:val="007568CE"/>
    <w:rsid w:val="0075723A"/>
    <w:rsid w:val="00757392"/>
    <w:rsid w:val="00757B92"/>
    <w:rsid w:val="007600E9"/>
    <w:rsid w:val="0076064A"/>
    <w:rsid w:val="007606AC"/>
    <w:rsid w:val="00760B45"/>
    <w:rsid w:val="00760BBC"/>
    <w:rsid w:val="007613F9"/>
    <w:rsid w:val="00761945"/>
    <w:rsid w:val="00762640"/>
    <w:rsid w:val="0076281D"/>
    <w:rsid w:val="0076446C"/>
    <w:rsid w:val="0076496E"/>
    <w:rsid w:val="007649E6"/>
    <w:rsid w:val="00764B20"/>
    <w:rsid w:val="007651A8"/>
    <w:rsid w:val="0076591A"/>
    <w:rsid w:val="00765C62"/>
    <w:rsid w:val="00766515"/>
    <w:rsid w:val="00766650"/>
    <w:rsid w:val="0076672B"/>
    <w:rsid w:val="0076707B"/>
    <w:rsid w:val="007674D7"/>
    <w:rsid w:val="00767613"/>
    <w:rsid w:val="00767C05"/>
    <w:rsid w:val="00767D2E"/>
    <w:rsid w:val="007706B8"/>
    <w:rsid w:val="00770942"/>
    <w:rsid w:val="0077118E"/>
    <w:rsid w:val="007711D4"/>
    <w:rsid w:val="00771F01"/>
    <w:rsid w:val="00772E65"/>
    <w:rsid w:val="00773A61"/>
    <w:rsid w:val="0077423C"/>
    <w:rsid w:val="007758AD"/>
    <w:rsid w:val="00776294"/>
    <w:rsid w:val="00776998"/>
    <w:rsid w:val="00776D44"/>
    <w:rsid w:val="00776FA8"/>
    <w:rsid w:val="007770F0"/>
    <w:rsid w:val="0078018C"/>
    <w:rsid w:val="00780416"/>
    <w:rsid w:val="007804AA"/>
    <w:rsid w:val="007804CC"/>
    <w:rsid w:val="00780EC1"/>
    <w:rsid w:val="00781C0E"/>
    <w:rsid w:val="007826B6"/>
    <w:rsid w:val="007835F4"/>
    <w:rsid w:val="00783E1C"/>
    <w:rsid w:val="0078479F"/>
    <w:rsid w:val="0078529E"/>
    <w:rsid w:val="007856EA"/>
    <w:rsid w:val="00785B09"/>
    <w:rsid w:val="00785F1F"/>
    <w:rsid w:val="00786CE4"/>
    <w:rsid w:val="00787218"/>
    <w:rsid w:val="00787626"/>
    <w:rsid w:val="007878A3"/>
    <w:rsid w:val="00787EB3"/>
    <w:rsid w:val="00787ED0"/>
    <w:rsid w:val="00791A36"/>
    <w:rsid w:val="00793A99"/>
    <w:rsid w:val="0079434F"/>
    <w:rsid w:val="007946A0"/>
    <w:rsid w:val="00795E81"/>
    <w:rsid w:val="00795F1C"/>
    <w:rsid w:val="007966F9"/>
    <w:rsid w:val="007967C6"/>
    <w:rsid w:val="007A0DA4"/>
    <w:rsid w:val="007A1AE7"/>
    <w:rsid w:val="007A274D"/>
    <w:rsid w:val="007A29AF"/>
    <w:rsid w:val="007A42ED"/>
    <w:rsid w:val="007A48CA"/>
    <w:rsid w:val="007A4CBE"/>
    <w:rsid w:val="007A4D18"/>
    <w:rsid w:val="007A4FC6"/>
    <w:rsid w:val="007A5495"/>
    <w:rsid w:val="007A56DA"/>
    <w:rsid w:val="007A5B74"/>
    <w:rsid w:val="007A6B70"/>
    <w:rsid w:val="007A6C06"/>
    <w:rsid w:val="007A6D96"/>
    <w:rsid w:val="007A6ED3"/>
    <w:rsid w:val="007A7222"/>
    <w:rsid w:val="007B0E26"/>
    <w:rsid w:val="007B1AA4"/>
    <w:rsid w:val="007B24B3"/>
    <w:rsid w:val="007B2BD4"/>
    <w:rsid w:val="007B2D68"/>
    <w:rsid w:val="007B3F71"/>
    <w:rsid w:val="007B43AB"/>
    <w:rsid w:val="007B48A3"/>
    <w:rsid w:val="007B4984"/>
    <w:rsid w:val="007B4C2F"/>
    <w:rsid w:val="007B4F75"/>
    <w:rsid w:val="007B65B6"/>
    <w:rsid w:val="007B7AE4"/>
    <w:rsid w:val="007B7CD5"/>
    <w:rsid w:val="007C0B8E"/>
    <w:rsid w:val="007C0CAE"/>
    <w:rsid w:val="007C106F"/>
    <w:rsid w:val="007C1313"/>
    <w:rsid w:val="007C13D2"/>
    <w:rsid w:val="007C17B5"/>
    <w:rsid w:val="007C1842"/>
    <w:rsid w:val="007C22A9"/>
    <w:rsid w:val="007C35BB"/>
    <w:rsid w:val="007C4C0B"/>
    <w:rsid w:val="007C4CC7"/>
    <w:rsid w:val="007C503C"/>
    <w:rsid w:val="007C5D43"/>
    <w:rsid w:val="007C5DD1"/>
    <w:rsid w:val="007C666F"/>
    <w:rsid w:val="007C6890"/>
    <w:rsid w:val="007C742E"/>
    <w:rsid w:val="007C7675"/>
    <w:rsid w:val="007D0085"/>
    <w:rsid w:val="007D04D5"/>
    <w:rsid w:val="007D19F0"/>
    <w:rsid w:val="007D1AD5"/>
    <w:rsid w:val="007D2D4C"/>
    <w:rsid w:val="007D2EB3"/>
    <w:rsid w:val="007D32C6"/>
    <w:rsid w:val="007D3486"/>
    <w:rsid w:val="007D362B"/>
    <w:rsid w:val="007D393F"/>
    <w:rsid w:val="007D4061"/>
    <w:rsid w:val="007D47D9"/>
    <w:rsid w:val="007D4F68"/>
    <w:rsid w:val="007D52E8"/>
    <w:rsid w:val="007D5610"/>
    <w:rsid w:val="007D75A7"/>
    <w:rsid w:val="007E03CA"/>
    <w:rsid w:val="007E06A5"/>
    <w:rsid w:val="007E0889"/>
    <w:rsid w:val="007E09FD"/>
    <w:rsid w:val="007E1188"/>
    <w:rsid w:val="007E1618"/>
    <w:rsid w:val="007E16D8"/>
    <w:rsid w:val="007E1FD8"/>
    <w:rsid w:val="007E2609"/>
    <w:rsid w:val="007E3162"/>
    <w:rsid w:val="007E35FC"/>
    <w:rsid w:val="007E3B29"/>
    <w:rsid w:val="007E40A3"/>
    <w:rsid w:val="007E4FD2"/>
    <w:rsid w:val="007E568D"/>
    <w:rsid w:val="007E6412"/>
    <w:rsid w:val="007E64E0"/>
    <w:rsid w:val="007E69DB"/>
    <w:rsid w:val="007E6EF7"/>
    <w:rsid w:val="007E72B7"/>
    <w:rsid w:val="007F0BAB"/>
    <w:rsid w:val="007F0C30"/>
    <w:rsid w:val="007F107A"/>
    <w:rsid w:val="007F22ED"/>
    <w:rsid w:val="007F27DC"/>
    <w:rsid w:val="007F3380"/>
    <w:rsid w:val="007F35AC"/>
    <w:rsid w:val="007F39CE"/>
    <w:rsid w:val="007F5AF0"/>
    <w:rsid w:val="007F6FE7"/>
    <w:rsid w:val="0080009A"/>
    <w:rsid w:val="008000EC"/>
    <w:rsid w:val="008004FB"/>
    <w:rsid w:val="00800991"/>
    <w:rsid w:val="00800ABF"/>
    <w:rsid w:val="00800BE2"/>
    <w:rsid w:val="00800DF0"/>
    <w:rsid w:val="00801118"/>
    <w:rsid w:val="00801E02"/>
    <w:rsid w:val="00801F74"/>
    <w:rsid w:val="00802160"/>
    <w:rsid w:val="00803989"/>
    <w:rsid w:val="008042FE"/>
    <w:rsid w:val="008046BA"/>
    <w:rsid w:val="008046F8"/>
    <w:rsid w:val="008065C3"/>
    <w:rsid w:val="00806738"/>
    <w:rsid w:val="00806D72"/>
    <w:rsid w:val="0080707F"/>
    <w:rsid w:val="008070BE"/>
    <w:rsid w:val="00810395"/>
    <w:rsid w:val="0081068E"/>
    <w:rsid w:val="008108FF"/>
    <w:rsid w:val="00810927"/>
    <w:rsid w:val="00810B07"/>
    <w:rsid w:val="00811080"/>
    <w:rsid w:val="00811259"/>
    <w:rsid w:val="008118AE"/>
    <w:rsid w:val="00811B34"/>
    <w:rsid w:val="00812779"/>
    <w:rsid w:val="008139D4"/>
    <w:rsid w:val="00814B99"/>
    <w:rsid w:val="00814CAB"/>
    <w:rsid w:val="00814F31"/>
    <w:rsid w:val="00814F59"/>
    <w:rsid w:val="00815348"/>
    <w:rsid w:val="00815424"/>
    <w:rsid w:val="008156AA"/>
    <w:rsid w:val="0081592C"/>
    <w:rsid w:val="00815BBC"/>
    <w:rsid w:val="00816033"/>
    <w:rsid w:val="00816716"/>
    <w:rsid w:val="00816737"/>
    <w:rsid w:val="00817034"/>
    <w:rsid w:val="00817244"/>
    <w:rsid w:val="00817592"/>
    <w:rsid w:val="008176C5"/>
    <w:rsid w:val="0082052E"/>
    <w:rsid w:val="00820801"/>
    <w:rsid w:val="0082144A"/>
    <w:rsid w:val="00821B9F"/>
    <w:rsid w:val="008220AC"/>
    <w:rsid w:val="0082254D"/>
    <w:rsid w:val="00822737"/>
    <w:rsid w:val="008229A7"/>
    <w:rsid w:val="0082397C"/>
    <w:rsid w:val="008245BD"/>
    <w:rsid w:val="00825196"/>
    <w:rsid w:val="00826709"/>
    <w:rsid w:val="0082786E"/>
    <w:rsid w:val="00827A38"/>
    <w:rsid w:val="00827C17"/>
    <w:rsid w:val="008301D2"/>
    <w:rsid w:val="008302FC"/>
    <w:rsid w:val="00830655"/>
    <w:rsid w:val="00830CAE"/>
    <w:rsid w:val="00830CDD"/>
    <w:rsid w:val="008313E6"/>
    <w:rsid w:val="008317B9"/>
    <w:rsid w:val="0083196F"/>
    <w:rsid w:val="0083399B"/>
    <w:rsid w:val="00833E7C"/>
    <w:rsid w:val="008347E6"/>
    <w:rsid w:val="00834C18"/>
    <w:rsid w:val="00836502"/>
    <w:rsid w:val="00836A9E"/>
    <w:rsid w:val="00837C78"/>
    <w:rsid w:val="00837CEF"/>
    <w:rsid w:val="0084081F"/>
    <w:rsid w:val="0084124E"/>
    <w:rsid w:val="00841613"/>
    <w:rsid w:val="008419C7"/>
    <w:rsid w:val="00841A6A"/>
    <w:rsid w:val="00841CEE"/>
    <w:rsid w:val="00841DB7"/>
    <w:rsid w:val="00842172"/>
    <w:rsid w:val="00842640"/>
    <w:rsid w:val="008427B3"/>
    <w:rsid w:val="008428F1"/>
    <w:rsid w:val="00843820"/>
    <w:rsid w:val="008438C0"/>
    <w:rsid w:val="00844BD7"/>
    <w:rsid w:val="00845D95"/>
    <w:rsid w:val="00845E11"/>
    <w:rsid w:val="008461C2"/>
    <w:rsid w:val="00846271"/>
    <w:rsid w:val="00846EB0"/>
    <w:rsid w:val="0084720C"/>
    <w:rsid w:val="00847B5B"/>
    <w:rsid w:val="00847BF5"/>
    <w:rsid w:val="0085014F"/>
    <w:rsid w:val="00850156"/>
    <w:rsid w:val="00850192"/>
    <w:rsid w:val="008507B8"/>
    <w:rsid w:val="008516F7"/>
    <w:rsid w:val="00851F2A"/>
    <w:rsid w:val="00852315"/>
    <w:rsid w:val="0085253D"/>
    <w:rsid w:val="00853BBA"/>
    <w:rsid w:val="008542A3"/>
    <w:rsid w:val="00854DEB"/>
    <w:rsid w:val="0085543F"/>
    <w:rsid w:val="00855441"/>
    <w:rsid w:val="008561AF"/>
    <w:rsid w:val="00856662"/>
    <w:rsid w:val="00856AA1"/>
    <w:rsid w:val="0086091B"/>
    <w:rsid w:val="00860E06"/>
    <w:rsid w:val="00861D6C"/>
    <w:rsid w:val="00862512"/>
    <w:rsid w:val="00862C99"/>
    <w:rsid w:val="008636D2"/>
    <w:rsid w:val="0086373C"/>
    <w:rsid w:val="00863761"/>
    <w:rsid w:val="008644E6"/>
    <w:rsid w:val="008646DA"/>
    <w:rsid w:val="008647A8"/>
    <w:rsid w:val="0086524D"/>
    <w:rsid w:val="00865456"/>
    <w:rsid w:val="00865563"/>
    <w:rsid w:val="00865B3C"/>
    <w:rsid w:val="0086680A"/>
    <w:rsid w:val="00866B79"/>
    <w:rsid w:val="00867AB5"/>
    <w:rsid w:val="00867B94"/>
    <w:rsid w:val="00867DE0"/>
    <w:rsid w:val="00867DFA"/>
    <w:rsid w:val="00870533"/>
    <w:rsid w:val="00870678"/>
    <w:rsid w:val="00870697"/>
    <w:rsid w:val="0087073E"/>
    <w:rsid w:val="00870AAD"/>
    <w:rsid w:val="008713DF"/>
    <w:rsid w:val="00872339"/>
    <w:rsid w:val="00872AEA"/>
    <w:rsid w:val="00873016"/>
    <w:rsid w:val="008737D9"/>
    <w:rsid w:val="0087410A"/>
    <w:rsid w:val="0087449D"/>
    <w:rsid w:val="00874733"/>
    <w:rsid w:val="00874B0D"/>
    <w:rsid w:val="00875822"/>
    <w:rsid w:val="00875CC3"/>
    <w:rsid w:val="008769C6"/>
    <w:rsid w:val="008776B9"/>
    <w:rsid w:val="00877FEA"/>
    <w:rsid w:val="008802B3"/>
    <w:rsid w:val="0088031A"/>
    <w:rsid w:val="008812E1"/>
    <w:rsid w:val="00881851"/>
    <w:rsid w:val="00881F0C"/>
    <w:rsid w:val="00882140"/>
    <w:rsid w:val="00882237"/>
    <w:rsid w:val="0088253B"/>
    <w:rsid w:val="00882A2F"/>
    <w:rsid w:val="00882E5A"/>
    <w:rsid w:val="0088322B"/>
    <w:rsid w:val="00883380"/>
    <w:rsid w:val="008835CF"/>
    <w:rsid w:val="00883B8A"/>
    <w:rsid w:val="00883E47"/>
    <w:rsid w:val="008841AC"/>
    <w:rsid w:val="00884AC5"/>
    <w:rsid w:val="00886442"/>
    <w:rsid w:val="00886D14"/>
    <w:rsid w:val="008870AF"/>
    <w:rsid w:val="00887CC6"/>
    <w:rsid w:val="00887F90"/>
    <w:rsid w:val="00890353"/>
    <w:rsid w:val="00890A21"/>
    <w:rsid w:val="00890AB6"/>
    <w:rsid w:val="00890CC5"/>
    <w:rsid w:val="00891053"/>
    <w:rsid w:val="008910CE"/>
    <w:rsid w:val="008910DB"/>
    <w:rsid w:val="008910DD"/>
    <w:rsid w:val="00891C3C"/>
    <w:rsid w:val="00891EFC"/>
    <w:rsid w:val="008924C4"/>
    <w:rsid w:val="00895688"/>
    <w:rsid w:val="0089621D"/>
    <w:rsid w:val="008A017C"/>
    <w:rsid w:val="008A0DF2"/>
    <w:rsid w:val="008A1D70"/>
    <w:rsid w:val="008A21AB"/>
    <w:rsid w:val="008A2492"/>
    <w:rsid w:val="008A39CD"/>
    <w:rsid w:val="008A3C7E"/>
    <w:rsid w:val="008A3CEF"/>
    <w:rsid w:val="008A44F9"/>
    <w:rsid w:val="008A4760"/>
    <w:rsid w:val="008A506F"/>
    <w:rsid w:val="008A5150"/>
    <w:rsid w:val="008A566F"/>
    <w:rsid w:val="008A5A77"/>
    <w:rsid w:val="008A5BA0"/>
    <w:rsid w:val="008A6327"/>
    <w:rsid w:val="008A6FA4"/>
    <w:rsid w:val="008A7644"/>
    <w:rsid w:val="008B03B2"/>
    <w:rsid w:val="008B092C"/>
    <w:rsid w:val="008B0FBA"/>
    <w:rsid w:val="008B10D7"/>
    <w:rsid w:val="008B186B"/>
    <w:rsid w:val="008B24A8"/>
    <w:rsid w:val="008B2C61"/>
    <w:rsid w:val="008B2FB3"/>
    <w:rsid w:val="008B3B19"/>
    <w:rsid w:val="008B48B7"/>
    <w:rsid w:val="008B4976"/>
    <w:rsid w:val="008B64D8"/>
    <w:rsid w:val="008B6A19"/>
    <w:rsid w:val="008B6E09"/>
    <w:rsid w:val="008B6E2D"/>
    <w:rsid w:val="008B6EAB"/>
    <w:rsid w:val="008B713B"/>
    <w:rsid w:val="008B7B72"/>
    <w:rsid w:val="008C0BCB"/>
    <w:rsid w:val="008C1046"/>
    <w:rsid w:val="008C123E"/>
    <w:rsid w:val="008C243D"/>
    <w:rsid w:val="008C2F9B"/>
    <w:rsid w:val="008C3461"/>
    <w:rsid w:val="008C44B8"/>
    <w:rsid w:val="008C497F"/>
    <w:rsid w:val="008C4D88"/>
    <w:rsid w:val="008C50C1"/>
    <w:rsid w:val="008C5CB8"/>
    <w:rsid w:val="008C67C0"/>
    <w:rsid w:val="008C75CA"/>
    <w:rsid w:val="008C7B0F"/>
    <w:rsid w:val="008C7B52"/>
    <w:rsid w:val="008D0BBE"/>
    <w:rsid w:val="008D0F4B"/>
    <w:rsid w:val="008D1D26"/>
    <w:rsid w:val="008D1F49"/>
    <w:rsid w:val="008D1FB5"/>
    <w:rsid w:val="008D2422"/>
    <w:rsid w:val="008D299D"/>
    <w:rsid w:val="008D2F36"/>
    <w:rsid w:val="008D30F8"/>
    <w:rsid w:val="008D34AE"/>
    <w:rsid w:val="008D3702"/>
    <w:rsid w:val="008D3837"/>
    <w:rsid w:val="008D3EB4"/>
    <w:rsid w:val="008D441A"/>
    <w:rsid w:val="008D45CA"/>
    <w:rsid w:val="008D576D"/>
    <w:rsid w:val="008D6810"/>
    <w:rsid w:val="008D6E94"/>
    <w:rsid w:val="008D6EB0"/>
    <w:rsid w:val="008D73F3"/>
    <w:rsid w:val="008E0B49"/>
    <w:rsid w:val="008E0DDB"/>
    <w:rsid w:val="008E0F28"/>
    <w:rsid w:val="008E0FD4"/>
    <w:rsid w:val="008E16B5"/>
    <w:rsid w:val="008E19DC"/>
    <w:rsid w:val="008E40DC"/>
    <w:rsid w:val="008E4408"/>
    <w:rsid w:val="008E49A8"/>
    <w:rsid w:val="008E4E37"/>
    <w:rsid w:val="008E52EE"/>
    <w:rsid w:val="008E54B5"/>
    <w:rsid w:val="008E67CD"/>
    <w:rsid w:val="008E6B8A"/>
    <w:rsid w:val="008E6E05"/>
    <w:rsid w:val="008E714F"/>
    <w:rsid w:val="008E7870"/>
    <w:rsid w:val="008E7A71"/>
    <w:rsid w:val="008E7B17"/>
    <w:rsid w:val="008F0446"/>
    <w:rsid w:val="008F0B56"/>
    <w:rsid w:val="008F2EBD"/>
    <w:rsid w:val="008F2F23"/>
    <w:rsid w:val="008F3BE0"/>
    <w:rsid w:val="008F3F0E"/>
    <w:rsid w:val="008F506B"/>
    <w:rsid w:val="008F5B4D"/>
    <w:rsid w:val="008F628B"/>
    <w:rsid w:val="008F65DC"/>
    <w:rsid w:val="008F6CB4"/>
    <w:rsid w:val="008F7513"/>
    <w:rsid w:val="008F7DD0"/>
    <w:rsid w:val="009005E6"/>
    <w:rsid w:val="00900A1B"/>
    <w:rsid w:val="00900AE5"/>
    <w:rsid w:val="00900E3B"/>
    <w:rsid w:val="00901610"/>
    <w:rsid w:val="00901E40"/>
    <w:rsid w:val="0090201C"/>
    <w:rsid w:val="009029F3"/>
    <w:rsid w:val="00902E18"/>
    <w:rsid w:val="009035BC"/>
    <w:rsid w:val="00904028"/>
    <w:rsid w:val="009057F6"/>
    <w:rsid w:val="0090622E"/>
    <w:rsid w:val="00906A6D"/>
    <w:rsid w:val="00906A6E"/>
    <w:rsid w:val="00906E5C"/>
    <w:rsid w:val="0090762A"/>
    <w:rsid w:val="0091046E"/>
    <w:rsid w:val="00911818"/>
    <w:rsid w:val="00911E1E"/>
    <w:rsid w:val="0091271B"/>
    <w:rsid w:val="009128DE"/>
    <w:rsid w:val="00913EE3"/>
    <w:rsid w:val="0091443F"/>
    <w:rsid w:val="009149CF"/>
    <w:rsid w:val="00915762"/>
    <w:rsid w:val="00916679"/>
    <w:rsid w:val="00916787"/>
    <w:rsid w:val="009179A9"/>
    <w:rsid w:val="00917EE9"/>
    <w:rsid w:val="00917F4F"/>
    <w:rsid w:val="00920F14"/>
    <w:rsid w:val="009211D8"/>
    <w:rsid w:val="00921478"/>
    <w:rsid w:val="00921B91"/>
    <w:rsid w:val="00921C0E"/>
    <w:rsid w:val="00922FD7"/>
    <w:rsid w:val="0092324D"/>
    <w:rsid w:val="0092337F"/>
    <w:rsid w:val="009233DC"/>
    <w:rsid w:val="00923599"/>
    <w:rsid w:val="00924419"/>
    <w:rsid w:val="00925114"/>
    <w:rsid w:val="009256A2"/>
    <w:rsid w:val="00925E0D"/>
    <w:rsid w:val="009266CB"/>
    <w:rsid w:val="00926C42"/>
    <w:rsid w:val="00926FA0"/>
    <w:rsid w:val="00926FFC"/>
    <w:rsid w:val="00927508"/>
    <w:rsid w:val="00927CA3"/>
    <w:rsid w:val="009305A1"/>
    <w:rsid w:val="009306F2"/>
    <w:rsid w:val="00930F95"/>
    <w:rsid w:val="00931503"/>
    <w:rsid w:val="009322AD"/>
    <w:rsid w:val="0093299E"/>
    <w:rsid w:val="00932AAE"/>
    <w:rsid w:val="00932D3D"/>
    <w:rsid w:val="00933279"/>
    <w:rsid w:val="00934D4B"/>
    <w:rsid w:val="00934FF7"/>
    <w:rsid w:val="0093525E"/>
    <w:rsid w:val="009368D5"/>
    <w:rsid w:val="009372B8"/>
    <w:rsid w:val="0093777D"/>
    <w:rsid w:val="00937975"/>
    <w:rsid w:val="0093797C"/>
    <w:rsid w:val="00937CC4"/>
    <w:rsid w:val="00937EAF"/>
    <w:rsid w:val="00940AB4"/>
    <w:rsid w:val="00940B11"/>
    <w:rsid w:val="00940E20"/>
    <w:rsid w:val="00940F6B"/>
    <w:rsid w:val="00942A6F"/>
    <w:rsid w:val="00943F51"/>
    <w:rsid w:val="0094410F"/>
    <w:rsid w:val="009444E4"/>
    <w:rsid w:val="0094498D"/>
    <w:rsid w:val="009452FE"/>
    <w:rsid w:val="00946060"/>
    <w:rsid w:val="00947799"/>
    <w:rsid w:val="00950DE4"/>
    <w:rsid w:val="00950F94"/>
    <w:rsid w:val="009515EA"/>
    <w:rsid w:val="009518BB"/>
    <w:rsid w:val="00951D38"/>
    <w:rsid w:val="00951F1A"/>
    <w:rsid w:val="00952A7E"/>
    <w:rsid w:val="00953C16"/>
    <w:rsid w:val="00954945"/>
    <w:rsid w:val="00954E50"/>
    <w:rsid w:val="0095509F"/>
    <w:rsid w:val="00955789"/>
    <w:rsid w:val="00955ED1"/>
    <w:rsid w:val="00956870"/>
    <w:rsid w:val="00956CE9"/>
    <w:rsid w:val="00956F98"/>
    <w:rsid w:val="00957681"/>
    <w:rsid w:val="00957891"/>
    <w:rsid w:val="00957ADF"/>
    <w:rsid w:val="0096063D"/>
    <w:rsid w:val="0096072C"/>
    <w:rsid w:val="00960DAD"/>
    <w:rsid w:val="00960E04"/>
    <w:rsid w:val="0096128B"/>
    <w:rsid w:val="009613F4"/>
    <w:rsid w:val="00961770"/>
    <w:rsid w:val="009617E1"/>
    <w:rsid w:val="0096197E"/>
    <w:rsid w:val="00961ED7"/>
    <w:rsid w:val="00962258"/>
    <w:rsid w:val="009631B1"/>
    <w:rsid w:val="00963F38"/>
    <w:rsid w:val="009641C6"/>
    <w:rsid w:val="00964F32"/>
    <w:rsid w:val="00965183"/>
    <w:rsid w:val="0096692D"/>
    <w:rsid w:val="00966AD5"/>
    <w:rsid w:val="00966F04"/>
    <w:rsid w:val="009670B9"/>
    <w:rsid w:val="009671D1"/>
    <w:rsid w:val="00967C1C"/>
    <w:rsid w:val="00967C89"/>
    <w:rsid w:val="00967E11"/>
    <w:rsid w:val="00967ED3"/>
    <w:rsid w:val="00967F50"/>
    <w:rsid w:val="00970FAE"/>
    <w:rsid w:val="00971605"/>
    <w:rsid w:val="0097255A"/>
    <w:rsid w:val="00972749"/>
    <w:rsid w:val="009730BD"/>
    <w:rsid w:val="00973E9C"/>
    <w:rsid w:val="009742B8"/>
    <w:rsid w:val="009749BF"/>
    <w:rsid w:val="00974B9A"/>
    <w:rsid w:val="00974F54"/>
    <w:rsid w:val="009753DB"/>
    <w:rsid w:val="00975761"/>
    <w:rsid w:val="00976833"/>
    <w:rsid w:val="009768E3"/>
    <w:rsid w:val="00976B63"/>
    <w:rsid w:val="00976C0C"/>
    <w:rsid w:val="00976C6A"/>
    <w:rsid w:val="0097719B"/>
    <w:rsid w:val="009772B0"/>
    <w:rsid w:val="009774FB"/>
    <w:rsid w:val="00981145"/>
    <w:rsid w:val="00982104"/>
    <w:rsid w:val="009823B5"/>
    <w:rsid w:val="0098283E"/>
    <w:rsid w:val="00982EC4"/>
    <w:rsid w:val="009831E9"/>
    <w:rsid w:val="009837F3"/>
    <w:rsid w:val="0098433D"/>
    <w:rsid w:val="0098451A"/>
    <w:rsid w:val="00984630"/>
    <w:rsid w:val="00984ACD"/>
    <w:rsid w:val="0098516C"/>
    <w:rsid w:val="00985293"/>
    <w:rsid w:val="009853A2"/>
    <w:rsid w:val="009858AB"/>
    <w:rsid w:val="009859FB"/>
    <w:rsid w:val="00985D41"/>
    <w:rsid w:val="009863C5"/>
    <w:rsid w:val="0098650E"/>
    <w:rsid w:val="00986BCB"/>
    <w:rsid w:val="0098732B"/>
    <w:rsid w:val="00987B63"/>
    <w:rsid w:val="00987FEA"/>
    <w:rsid w:val="009900F4"/>
    <w:rsid w:val="00990784"/>
    <w:rsid w:val="0099132F"/>
    <w:rsid w:val="0099333C"/>
    <w:rsid w:val="00993F47"/>
    <w:rsid w:val="00993FBD"/>
    <w:rsid w:val="009944DB"/>
    <w:rsid w:val="0099755D"/>
    <w:rsid w:val="00997884"/>
    <w:rsid w:val="009978C5"/>
    <w:rsid w:val="00997B8F"/>
    <w:rsid w:val="00997FDB"/>
    <w:rsid w:val="009A0530"/>
    <w:rsid w:val="009A13B6"/>
    <w:rsid w:val="009A1F90"/>
    <w:rsid w:val="009A2ADF"/>
    <w:rsid w:val="009A3B68"/>
    <w:rsid w:val="009A42BB"/>
    <w:rsid w:val="009A672A"/>
    <w:rsid w:val="009A7452"/>
    <w:rsid w:val="009A7E8B"/>
    <w:rsid w:val="009B124A"/>
    <w:rsid w:val="009B1313"/>
    <w:rsid w:val="009B2BEB"/>
    <w:rsid w:val="009B2D69"/>
    <w:rsid w:val="009B44EF"/>
    <w:rsid w:val="009B4C54"/>
    <w:rsid w:val="009B4E82"/>
    <w:rsid w:val="009B5521"/>
    <w:rsid w:val="009B5D29"/>
    <w:rsid w:val="009B6518"/>
    <w:rsid w:val="009B6F2A"/>
    <w:rsid w:val="009B708A"/>
    <w:rsid w:val="009B7188"/>
    <w:rsid w:val="009B731D"/>
    <w:rsid w:val="009C0198"/>
    <w:rsid w:val="009C0517"/>
    <w:rsid w:val="009C1ADF"/>
    <w:rsid w:val="009C238F"/>
    <w:rsid w:val="009C248E"/>
    <w:rsid w:val="009C2E9B"/>
    <w:rsid w:val="009C2EF5"/>
    <w:rsid w:val="009C4025"/>
    <w:rsid w:val="009C4E5D"/>
    <w:rsid w:val="009C50BD"/>
    <w:rsid w:val="009C5B88"/>
    <w:rsid w:val="009C6495"/>
    <w:rsid w:val="009C64F0"/>
    <w:rsid w:val="009C69D7"/>
    <w:rsid w:val="009C7268"/>
    <w:rsid w:val="009C78F3"/>
    <w:rsid w:val="009C7F58"/>
    <w:rsid w:val="009D072D"/>
    <w:rsid w:val="009D234C"/>
    <w:rsid w:val="009D2821"/>
    <w:rsid w:val="009D2951"/>
    <w:rsid w:val="009D2988"/>
    <w:rsid w:val="009D2A43"/>
    <w:rsid w:val="009D34B5"/>
    <w:rsid w:val="009D41A4"/>
    <w:rsid w:val="009D45F2"/>
    <w:rsid w:val="009D4716"/>
    <w:rsid w:val="009D5B1C"/>
    <w:rsid w:val="009D5EE6"/>
    <w:rsid w:val="009D625D"/>
    <w:rsid w:val="009D6FC1"/>
    <w:rsid w:val="009D71A0"/>
    <w:rsid w:val="009D732D"/>
    <w:rsid w:val="009D74EF"/>
    <w:rsid w:val="009D7CEB"/>
    <w:rsid w:val="009E02C2"/>
    <w:rsid w:val="009E085D"/>
    <w:rsid w:val="009E1B9B"/>
    <w:rsid w:val="009E2CEE"/>
    <w:rsid w:val="009E31BB"/>
    <w:rsid w:val="009E32D1"/>
    <w:rsid w:val="009E377D"/>
    <w:rsid w:val="009E3C9B"/>
    <w:rsid w:val="009E3DFC"/>
    <w:rsid w:val="009E4AB5"/>
    <w:rsid w:val="009E52F2"/>
    <w:rsid w:val="009E5805"/>
    <w:rsid w:val="009E5C0C"/>
    <w:rsid w:val="009E62C5"/>
    <w:rsid w:val="009E6590"/>
    <w:rsid w:val="009E66E9"/>
    <w:rsid w:val="009E6C5E"/>
    <w:rsid w:val="009F068E"/>
    <w:rsid w:val="009F0F20"/>
    <w:rsid w:val="009F1391"/>
    <w:rsid w:val="009F1528"/>
    <w:rsid w:val="009F274D"/>
    <w:rsid w:val="009F2E53"/>
    <w:rsid w:val="009F3AA1"/>
    <w:rsid w:val="009F4698"/>
    <w:rsid w:val="009F57B5"/>
    <w:rsid w:val="009F6073"/>
    <w:rsid w:val="009F646B"/>
    <w:rsid w:val="009F657F"/>
    <w:rsid w:val="009F6BFF"/>
    <w:rsid w:val="009F71A7"/>
    <w:rsid w:val="009F7349"/>
    <w:rsid w:val="009F747F"/>
    <w:rsid w:val="009F7B73"/>
    <w:rsid w:val="00A0097F"/>
    <w:rsid w:val="00A00F11"/>
    <w:rsid w:val="00A01337"/>
    <w:rsid w:val="00A01902"/>
    <w:rsid w:val="00A01A0E"/>
    <w:rsid w:val="00A01CF9"/>
    <w:rsid w:val="00A01D27"/>
    <w:rsid w:val="00A01D92"/>
    <w:rsid w:val="00A02422"/>
    <w:rsid w:val="00A027A3"/>
    <w:rsid w:val="00A02A0D"/>
    <w:rsid w:val="00A02A8D"/>
    <w:rsid w:val="00A03004"/>
    <w:rsid w:val="00A03151"/>
    <w:rsid w:val="00A03CE7"/>
    <w:rsid w:val="00A04BE8"/>
    <w:rsid w:val="00A04C98"/>
    <w:rsid w:val="00A061A8"/>
    <w:rsid w:val="00A061E7"/>
    <w:rsid w:val="00A06AE6"/>
    <w:rsid w:val="00A06DA4"/>
    <w:rsid w:val="00A0700A"/>
    <w:rsid w:val="00A07E07"/>
    <w:rsid w:val="00A10222"/>
    <w:rsid w:val="00A1089C"/>
    <w:rsid w:val="00A1203B"/>
    <w:rsid w:val="00A12167"/>
    <w:rsid w:val="00A1238D"/>
    <w:rsid w:val="00A1296A"/>
    <w:rsid w:val="00A13174"/>
    <w:rsid w:val="00A134D6"/>
    <w:rsid w:val="00A141B7"/>
    <w:rsid w:val="00A14627"/>
    <w:rsid w:val="00A14CC1"/>
    <w:rsid w:val="00A14DE1"/>
    <w:rsid w:val="00A14F3E"/>
    <w:rsid w:val="00A14F68"/>
    <w:rsid w:val="00A150FA"/>
    <w:rsid w:val="00A156E1"/>
    <w:rsid w:val="00A165EA"/>
    <w:rsid w:val="00A16CA0"/>
    <w:rsid w:val="00A16D17"/>
    <w:rsid w:val="00A16E79"/>
    <w:rsid w:val="00A1773F"/>
    <w:rsid w:val="00A17FA1"/>
    <w:rsid w:val="00A210DB"/>
    <w:rsid w:val="00A21220"/>
    <w:rsid w:val="00A2165E"/>
    <w:rsid w:val="00A21AC4"/>
    <w:rsid w:val="00A22448"/>
    <w:rsid w:val="00A2250F"/>
    <w:rsid w:val="00A22A1E"/>
    <w:rsid w:val="00A22D21"/>
    <w:rsid w:val="00A22E08"/>
    <w:rsid w:val="00A22E7B"/>
    <w:rsid w:val="00A24777"/>
    <w:rsid w:val="00A24882"/>
    <w:rsid w:val="00A252B8"/>
    <w:rsid w:val="00A257D9"/>
    <w:rsid w:val="00A261A6"/>
    <w:rsid w:val="00A2694A"/>
    <w:rsid w:val="00A26F28"/>
    <w:rsid w:val="00A270F0"/>
    <w:rsid w:val="00A2713B"/>
    <w:rsid w:val="00A27D6F"/>
    <w:rsid w:val="00A31EED"/>
    <w:rsid w:val="00A326D4"/>
    <w:rsid w:val="00A32DC4"/>
    <w:rsid w:val="00A336BC"/>
    <w:rsid w:val="00A35310"/>
    <w:rsid w:val="00A36023"/>
    <w:rsid w:val="00A3632E"/>
    <w:rsid w:val="00A3647D"/>
    <w:rsid w:val="00A36EA1"/>
    <w:rsid w:val="00A377A9"/>
    <w:rsid w:val="00A37D91"/>
    <w:rsid w:val="00A404B0"/>
    <w:rsid w:val="00A4088D"/>
    <w:rsid w:val="00A40B21"/>
    <w:rsid w:val="00A430D7"/>
    <w:rsid w:val="00A43D24"/>
    <w:rsid w:val="00A446E7"/>
    <w:rsid w:val="00A448BD"/>
    <w:rsid w:val="00A44CDC"/>
    <w:rsid w:val="00A4514F"/>
    <w:rsid w:val="00A4607E"/>
    <w:rsid w:val="00A461FD"/>
    <w:rsid w:val="00A46BD5"/>
    <w:rsid w:val="00A46E5B"/>
    <w:rsid w:val="00A470ED"/>
    <w:rsid w:val="00A4732B"/>
    <w:rsid w:val="00A473E1"/>
    <w:rsid w:val="00A4755B"/>
    <w:rsid w:val="00A4788A"/>
    <w:rsid w:val="00A508DB"/>
    <w:rsid w:val="00A50C58"/>
    <w:rsid w:val="00A51684"/>
    <w:rsid w:val="00A522FF"/>
    <w:rsid w:val="00A5231F"/>
    <w:rsid w:val="00A53508"/>
    <w:rsid w:val="00A54F96"/>
    <w:rsid w:val="00A55FCD"/>
    <w:rsid w:val="00A5616D"/>
    <w:rsid w:val="00A56280"/>
    <w:rsid w:val="00A5633B"/>
    <w:rsid w:val="00A564F7"/>
    <w:rsid w:val="00A56639"/>
    <w:rsid w:val="00A572B6"/>
    <w:rsid w:val="00A57316"/>
    <w:rsid w:val="00A5791A"/>
    <w:rsid w:val="00A579FA"/>
    <w:rsid w:val="00A601C3"/>
    <w:rsid w:val="00A610EB"/>
    <w:rsid w:val="00A6133B"/>
    <w:rsid w:val="00A62A13"/>
    <w:rsid w:val="00A631B6"/>
    <w:rsid w:val="00A631BD"/>
    <w:rsid w:val="00A635AD"/>
    <w:rsid w:val="00A63A17"/>
    <w:rsid w:val="00A63C35"/>
    <w:rsid w:val="00A63E81"/>
    <w:rsid w:val="00A64473"/>
    <w:rsid w:val="00A64AEC"/>
    <w:rsid w:val="00A64CE8"/>
    <w:rsid w:val="00A64E2E"/>
    <w:rsid w:val="00A6543B"/>
    <w:rsid w:val="00A65813"/>
    <w:rsid w:val="00A66017"/>
    <w:rsid w:val="00A661B9"/>
    <w:rsid w:val="00A66A05"/>
    <w:rsid w:val="00A66A46"/>
    <w:rsid w:val="00A66C11"/>
    <w:rsid w:val="00A67504"/>
    <w:rsid w:val="00A7072B"/>
    <w:rsid w:val="00A70AE1"/>
    <w:rsid w:val="00A714A7"/>
    <w:rsid w:val="00A726ED"/>
    <w:rsid w:val="00A7273A"/>
    <w:rsid w:val="00A72D62"/>
    <w:rsid w:val="00A7309E"/>
    <w:rsid w:val="00A730EA"/>
    <w:rsid w:val="00A7375B"/>
    <w:rsid w:val="00A74076"/>
    <w:rsid w:val="00A745A9"/>
    <w:rsid w:val="00A757E5"/>
    <w:rsid w:val="00A7627A"/>
    <w:rsid w:val="00A76927"/>
    <w:rsid w:val="00A7718A"/>
    <w:rsid w:val="00A7741D"/>
    <w:rsid w:val="00A779D9"/>
    <w:rsid w:val="00A80151"/>
    <w:rsid w:val="00A8029A"/>
    <w:rsid w:val="00A807F5"/>
    <w:rsid w:val="00A80A62"/>
    <w:rsid w:val="00A81D59"/>
    <w:rsid w:val="00A82D59"/>
    <w:rsid w:val="00A82DCB"/>
    <w:rsid w:val="00A83EA3"/>
    <w:rsid w:val="00A83F7D"/>
    <w:rsid w:val="00A84003"/>
    <w:rsid w:val="00A8410B"/>
    <w:rsid w:val="00A8593B"/>
    <w:rsid w:val="00A85E6B"/>
    <w:rsid w:val="00A86A60"/>
    <w:rsid w:val="00A878A6"/>
    <w:rsid w:val="00A87B77"/>
    <w:rsid w:val="00A90499"/>
    <w:rsid w:val="00A90799"/>
    <w:rsid w:val="00A91039"/>
    <w:rsid w:val="00A91BB9"/>
    <w:rsid w:val="00A91CA9"/>
    <w:rsid w:val="00A92087"/>
    <w:rsid w:val="00A92345"/>
    <w:rsid w:val="00A92521"/>
    <w:rsid w:val="00A928E3"/>
    <w:rsid w:val="00A92952"/>
    <w:rsid w:val="00A92A09"/>
    <w:rsid w:val="00A93908"/>
    <w:rsid w:val="00A947E3"/>
    <w:rsid w:val="00A94DAD"/>
    <w:rsid w:val="00A9517B"/>
    <w:rsid w:val="00A95455"/>
    <w:rsid w:val="00A95AB0"/>
    <w:rsid w:val="00A97B3A"/>
    <w:rsid w:val="00AA007D"/>
    <w:rsid w:val="00AA0BEE"/>
    <w:rsid w:val="00AA0DDB"/>
    <w:rsid w:val="00AA1675"/>
    <w:rsid w:val="00AA2157"/>
    <w:rsid w:val="00AA269D"/>
    <w:rsid w:val="00AA2F33"/>
    <w:rsid w:val="00AA3F61"/>
    <w:rsid w:val="00AA40E1"/>
    <w:rsid w:val="00AA47AD"/>
    <w:rsid w:val="00AA487E"/>
    <w:rsid w:val="00AA4A18"/>
    <w:rsid w:val="00AA5A4E"/>
    <w:rsid w:val="00AA5C00"/>
    <w:rsid w:val="00AA5FCC"/>
    <w:rsid w:val="00AA607A"/>
    <w:rsid w:val="00AA73EB"/>
    <w:rsid w:val="00AA75F9"/>
    <w:rsid w:val="00AA7605"/>
    <w:rsid w:val="00AA7B18"/>
    <w:rsid w:val="00AA7D5E"/>
    <w:rsid w:val="00AB0685"/>
    <w:rsid w:val="00AB09ED"/>
    <w:rsid w:val="00AB0BE6"/>
    <w:rsid w:val="00AB0ED3"/>
    <w:rsid w:val="00AB17C7"/>
    <w:rsid w:val="00AB19B4"/>
    <w:rsid w:val="00AB1F87"/>
    <w:rsid w:val="00AB2774"/>
    <w:rsid w:val="00AB31CC"/>
    <w:rsid w:val="00AB3CD4"/>
    <w:rsid w:val="00AB493E"/>
    <w:rsid w:val="00AB4D18"/>
    <w:rsid w:val="00AB4F51"/>
    <w:rsid w:val="00AB522C"/>
    <w:rsid w:val="00AB5972"/>
    <w:rsid w:val="00AB5A4C"/>
    <w:rsid w:val="00AB5AC3"/>
    <w:rsid w:val="00AB5EF1"/>
    <w:rsid w:val="00AB6194"/>
    <w:rsid w:val="00AB62A3"/>
    <w:rsid w:val="00AB62F9"/>
    <w:rsid w:val="00AB6474"/>
    <w:rsid w:val="00AB65FE"/>
    <w:rsid w:val="00AB71D3"/>
    <w:rsid w:val="00AC1A8A"/>
    <w:rsid w:val="00AC1CE5"/>
    <w:rsid w:val="00AC2DD4"/>
    <w:rsid w:val="00AC316A"/>
    <w:rsid w:val="00AC39F1"/>
    <w:rsid w:val="00AC40CF"/>
    <w:rsid w:val="00AC4552"/>
    <w:rsid w:val="00AC4C5C"/>
    <w:rsid w:val="00AC5DE1"/>
    <w:rsid w:val="00AC6FA1"/>
    <w:rsid w:val="00AC7FA0"/>
    <w:rsid w:val="00AD0308"/>
    <w:rsid w:val="00AD045D"/>
    <w:rsid w:val="00AD0D54"/>
    <w:rsid w:val="00AD2061"/>
    <w:rsid w:val="00AD267A"/>
    <w:rsid w:val="00AD3843"/>
    <w:rsid w:val="00AD4133"/>
    <w:rsid w:val="00AD55DA"/>
    <w:rsid w:val="00AD5FF7"/>
    <w:rsid w:val="00AD616E"/>
    <w:rsid w:val="00AD62EC"/>
    <w:rsid w:val="00AD6478"/>
    <w:rsid w:val="00AD73D9"/>
    <w:rsid w:val="00AD74A4"/>
    <w:rsid w:val="00AD7D2F"/>
    <w:rsid w:val="00AE022C"/>
    <w:rsid w:val="00AE02B9"/>
    <w:rsid w:val="00AE0A05"/>
    <w:rsid w:val="00AE1924"/>
    <w:rsid w:val="00AE3BB4"/>
    <w:rsid w:val="00AE40C1"/>
    <w:rsid w:val="00AE48AD"/>
    <w:rsid w:val="00AE4963"/>
    <w:rsid w:val="00AE4CA6"/>
    <w:rsid w:val="00AE5DE9"/>
    <w:rsid w:val="00AE6498"/>
    <w:rsid w:val="00AE70B7"/>
    <w:rsid w:val="00AE7F7C"/>
    <w:rsid w:val="00AF01C5"/>
    <w:rsid w:val="00AF0640"/>
    <w:rsid w:val="00AF06E2"/>
    <w:rsid w:val="00AF1152"/>
    <w:rsid w:val="00AF1E4F"/>
    <w:rsid w:val="00AF21B0"/>
    <w:rsid w:val="00AF25B6"/>
    <w:rsid w:val="00AF308B"/>
    <w:rsid w:val="00AF3434"/>
    <w:rsid w:val="00AF3453"/>
    <w:rsid w:val="00AF34DA"/>
    <w:rsid w:val="00AF3E97"/>
    <w:rsid w:val="00AF436A"/>
    <w:rsid w:val="00AF48FF"/>
    <w:rsid w:val="00AF493A"/>
    <w:rsid w:val="00AF4CA7"/>
    <w:rsid w:val="00AF520E"/>
    <w:rsid w:val="00AF584A"/>
    <w:rsid w:val="00AF58F3"/>
    <w:rsid w:val="00AF610B"/>
    <w:rsid w:val="00AF6918"/>
    <w:rsid w:val="00AF73DE"/>
    <w:rsid w:val="00AF7E8A"/>
    <w:rsid w:val="00AF7F2D"/>
    <w:rsid w:val="00B00C86"/>
    <w:rsid w:val="00B00D9B"/>
    <w:rsid w:val="00B00E67"/>
    <w:rsid w:val="00B0197F"/>
    <w:rsid w:val="00B02696"/>
    <w:rsid w:val="00B02B63"/>
    <w:rsid w:val="00B02D37"/>
    <w:rsid w:val="00B03FDF"/>
    <w:rsid w:val="00B04564"/>
    <w:rsid w:val="00B05101"/>
    <w:rsid w:val="00B052ED"/>
    <w:rsid w:val="00B05CA7"/>
    <w:rsid w:val="00B06436"/>
    <w:rsid w:val="00B06BB4"/>
    <w:rsid w:val="00B0703E"/>
    <w:rsid w:val="00B07F83"/>
    <w:rsid w:val="00B101A5"/>
    <w:rsid w:val="00B10CD2"/>
    <w:rsid w:val="00B11893"/>
    <w:rsid w:val="00B12300"/>
    <w:rsid w:val="00B12399"/>
    <w:rsid w:val="00B124B1"/>
    <w:rsid w:val="00B12C49"/>
    <w:rsid w:val="00B13364"/>
    <w:rsid w:val="00B136CE"/>
    <w:rsid w:val="00B13AF2"/>
    <w:rsid w:val="00B13DE2"/>
    <w:rsid w:val="00B14013"/>
    <w:rsid w:val="00B1402C"/>
    <w:rsid w:val="00B14CC1"/>
    <w:rsid w:val="00B14F55"/>
    <w:rsid w:val="00B1518B"/>
    <w:rsid w:val="00B151F0"/>
    <w:rsid w:val="00B1590E"/>
    <w:rsid w:val="00B15B07"/>
    <w:rsid w:val="00B163CE"/>
    <w:rsid w:val="00B166AF"/>
    <w:rsid w:val="00B16B74"/>
    <w:rsid w:val="00B17087"/>
    <w:rsid w:val="00B17E78"/>
    <w:rsid w:val="00B20B45"/>
    <w:rsid w:val="00B2200B"/>
    <w:rsid w:val="00B227D6"/>
    <w:rsid w:val="00B23422"/>
    <w:rsid w:val="00B241DB"/>
    <w:rsid w:val="00B24599"/>
    <w:rsid w:val="00B24A89"/>
    <w:rsid w:val="00B24DC3"/>
    <w:rsid w:val="00B24FFF"/>
    <w:rsid w:val="00B25259"/>
    <w:rsid w:val="00B25833"/>
    <w:rsid w:val="00B25C26"/>
    <w:rsid w:val="00B263B7"/>
    <w:rsid w:val="00B2672D"/>
    <w:rsid w:val="00B2688C"/>
    <w:rsid w:val="00B2695C"/>
    <w:rsid w:val="00B26BED"/>
    <w:rsid w:val="00B26D09"/>
    <w:rsid w:val="00B27A90"/>
    <w:rsid w:val="00B3035A"/>
    <w:rsid w:val="00B30EFB"/>
    <w:rsid w:val="00B310D4"/>
    <w:rsid w:val="00B314B5"/>
    <w:rsid w:val="00B3157D"/>
    <w:rsid w:val="00B31F03"/>
    <w:rsid w:val="00B320CE"/>
    <w:rsid w:val="00B32671"/>
    <w:rsid w:val="00B327AB"/>
    <w:rsid w:val="00B33713"/>
    <w:rsid w:val="00B34BCB"/>
    <w:rsid w:val="00B34EE7"/>
    <w:rsid w:val="00B34FC0"/>
    <w:rsid w:val="00B36287"/>
    <w:rsid w:val="00B365BB"/>
    <w:rsid w:val="00B365BE"/>
    <w:rsid w:val="00B36C48"/>
    <w:rsid w:val="00B372EA"/>
    <w:rsid w:val="00B376F7"/>
    <w:rsid w:val="00B40C9E"/>
    <w:rsid w:val="00B413E2"/>
    <w:rsid w:val="00B41605"/>
    <w:rsid w:val="00B419DF"/>
    <w:rsid w:val="00B42809"/>
    <w:rsid w:val="00B43474"/>
    <w:rsid w:val="00B4354D"/>
    <w:rsid w:val="00B43917"/>
    <w:rsid w:val="00B43E46"/>
    <w:rsid w:val="00B44684"/>
    <w:rsid w:val="00B447D6"/>
    <w:rsid w:val="00B44A0A"/>
    <w:rsid w:val="00B44CDF"/>
    <w:rsid w:val="00B4613B"/>
    <w:rsid w:val="00B467C5"/>
    <w:rsid w:val="00B46C1C"/>
    <w:rsid w:val="00B46DB8"/>
    <w:rsid w:val="00B476F0"/>
    <w:rsid w:val="00B47990"/>
    <w:rsid w:val="00B50AF0"/>
    <w:rsid w:val="00B5154B"/>
    <w:rsid w:val="00B5156D"/>
    <w:rsid w:val="00B5193A"/>
    <w:rsid w:val="00B51954"/>
    <w:rsid w:val="00B51B6C"/>
    <w:rsid w:val="00B51F2A"/>
    <w:rsid w:val="00B52070"/>
    <w:rsid w:val="00B531AD"/>
    <w:rsid w:val="00B532EC"/>
    <w:rsid w:val="00B53702"/>
    <w:rsid w:val="00B53872"/>
    <w:rsid w:val="00B54401"/>
    <w:rsid w:val="00B549D8"/>
    <w:rsid w:val="00B550EC"/>
    <w:rsid w:val="00B552EF"/>
    <w:rsid w:val="00B556A8"/>
    <w:rsid w:val="00B55805"/>
    <w:rsid w:val="00B55D49"/>
    <w:rsid w:val="00B5638E"/>
    <w:rsid w:val="00B5646D"/>
    <w:rsid w:val="00B56612"/>
    <w:rsid w:val="00B569E2"/>
    <w:rsid w:val="00B56B92"/>
    <w:rsid w:val="00B56FCC"/>
    <w:rsid w:val="00B572C7"/>
    <w:rsid w:val="00B572FB"/>
    <w:rsid w:val="00B60460"/>
    <w:rsid w:val="00B604A1"/>
    <w:rsid w:val="00B607CC"/>
    <w:rsid w:val="00B60903"/>
    <w:rsid w:val="00B609F0"/>
    <w:rsid w:val="00B60C0D"/>
    <w:rsid w:val="00B60CEF"/>
    <w:rsid w:val="00B60FF3"/>
    <w:rsid w:val="00B61D79"/>
    <w:rsid w:val="00B61FD4"/>
    <w:rsid w:val="00B6215D"/>
    <w:rsid w:val="00B629EF"/>
    <w:rsid w:val="00B62F62"/>
    <w:rsid w:val="00B637EA"/>
    <w:rsid w:val="00B63800"/>
    <w:rsid w:val="00B639D6"/>
    <w:rsid w:val="00B64333"/>
    <w:rsid w:val="00B65410"/>
    <w:rsid w:val="00B67244"/>
    <w:rsid w:val="00B703D5"/>
    <w:rsid w:val="00B70CEF"/>
    <w:rsid w:val="00B71519"/>
    <w:rsid w:val="00B7154A"/>
    <w:rsid w:val="00B71E87"/>
    <w:rsid w:val="00B71F1C"/>
    <w:rsid w:val="00B7275F"/>
    <w:rsid w:val="00B734E1"/>
    <w:rsid w:val="00B73C36"/>
    <w:rsid w:val="00B73F0D"/>
    <w:rsid w:val="00B73FB5"/>
    <w:rsid w:val="00B7405B"/>
    <w:rsid w:val="00B74423"/>
    <w:rsid w:val="00B74B1D"/>
    <w:rsid w:val="00B76261"/>
    <w:rsid w:val="00B7642E"/>
    <w:rsid w:val="00B76544"/>
    <w:rsid w:val="00B76E74"/>
    <w:rsid w:val="00B7754A"/>
    <w:rsid w:val="00B778C5"/>
    <w:rsid w:val="00B77B15"/>
    <w:rsid w:val="00B77E8A"/>
    <w:rsid w:val="00B801DA"/>
    <w:rsid w:val="00B80B47"/>
    <w:rsid w:val="00B8130B"/>
    <w:rsid w:val="00B81D6A"/>
    <w:rsid w:val="00B81F40"/>
    <w:rsid w:val="00B8268B"/>
    <w:rsid w:val="00B838BB"/>
    <w:rsid w:val="00B84549"/>
    <w:rsid w:val="00B84863"/>
    <w:rsid w:val="00B84CC9"/>
    <w:rsid w:val="00B84FA6"/>
    <w:rsid w:val="00B8545B"/>
    <w:rsid w:val="00B85CFA"/>
    <w:rsid w:val="00B85DDF"/>
    <w:rsid w:val="00B86F50"/>
    <w:rsid w:val="00B875FB"/>
    <w:rsid w:val="00B87D0E"/>
    <w:rsid w:val="00B906EE"/>
    <w:rsid w:val="00B90A28"/>
    <w:rsid w:val="00B910FD"/>
    <w:rsid w:val="00B91429"/>
    <w:rsid w:val="00B91B25"/>
    <w:rsid w:val="00B91E06"/>
    <w:rsid w:val="00B91EC3"/>
    <w:rsid w:val="00B9278E"/>
    <w:rsid w:val="00B93173"/>
    <w:rsid w:val="00B93183"/>
    <w:rsid w:val="00B9398F"/>
    <w:rsid w:val="00B93B32"/>
    <w:rsid w:val="00B9515C"/>
    <w:rsid w:val="00B958F3"/>
    <w:rsid w:val="00B95E69"/>
    <w:rsid w:val="00B97826"/>
    <w:rsid w:val="00B97D25"/>
    <w:rsid w:val="00BA0E33"/>
    <w:rsid w:val="00BA1384"/>
    <w:rsid w:val="00BA164C"/>
    <w:rsid w:val="00BA2066"/>
    <w:rsid w:val="00BA24B6"/>
    <w:rsid w:val="00BA2C22"/>
    <w:rsid w:val="00BA2D0A"/>
    <w:rsid w:val="00BA3051"/>
    <w:rsid w:val="00BA36BC"/>
    <w:rsid w:val="00BA431C"/>
    <w:rsid w:val="00BA4363"/>
    <w:rsid w:val="00BA4448"/>
    <w:rsid w:val="00BA4925"/>
    <w:rsid w:val="00BA494F"/>
    <w:rsid w:val="00BA4E6E"/>
    <w:rsid w:val="00BA561C"/>
    <w:rsid w:val="00BA6D37"/>
    <w:rsid w:val="00BA6EAA"/>
    <w:rsid w:val="00BA7488"/>
    <w:rsid w:val="00BA7767"/>
    <w:rsid w:val="00BA7A0C"/>
    <w:rsid w:val="00BA7BF2"/>
    <w:rsid w:val="00BB006B"/>
    <w:rsid w:val="00BB10F4"/>
    <w:rsid w:val="00BB2085"/>
    <w:rsid w:val="00BB222D"/>
    <w:rsid w:val="00BB2278"/>
    <w:rsid w:val="00BB2D19"/>
    <w:rsid w:val="00BB3A3E"/>
    <w:rsid w:val="00BB3D22"/>
    <w:rsid w:val="00BB43AC"/>
    <w:rsid w:val="00BB50D1"/>
    <w:rsid w:val="00BB52D5"/>
    <w:rsid w:val="00BB567F"/>
    <w:rsid w:val="00BB5AD9"/>
    <w:rsid w:val="00BB5B4E"/>
    <w:rsid w:val="00BB6732"/>
    <w:rsid w:val="00BB67FA"/>
    <w:rsid w:val="00BB6C88"/>
    <w:rsid w:val="00BB6D96"/>
    <w:rsid w:val="00BB7E9B"/>
    <w:rsid w:val="00BC0436"/>
    <w:rsid w:val="00BC07FC"/>
    <w:rsid w:val="00BC0C0E"/>
    <w:rsid w:val="00BC0CFE"/>
    <w:rsid w:val="00BC16EC"/>
    <w:rsid w:val="00BC2EC5"/>
    <w:rsid w:val="00BC2F68"/>
    <w:rsid w:val="00BC32E1"/>
    <w:rsid w:val="00BC4C5C"/>
    <w:rsid w:val="00BC5195"/>
    <w:rsid w:val="00BC5452"/>
    <w:rsid w:val="00BC72B2"/>
    <w:rsid w:val="00BC78C4"/>
    <w:rsid w:val="00BD0BD0"/>
    <w:rsid w:val="00BD2018"/>
    <w:rsid w:val="00BD236D"/>
    <w:rsid w:val="00BD2B86"/>
    <w:rsid w:val="00BD2D6B"/>
    <w:rsid w:val="00BD2DE5"/>
    <w:rsid w:val="00BD33BB"/>
    <w:rsid w:val="00BD3CB2"/>
    <w:rsid w:val="00BD41EC"/>
    <w:rsid w:val="00BD68CD"/>
    <w:rsid w:val="00BD761A"/>
    <w:rsid w:val="00BD799D"/>
    <w:rsid w:val="00BDE2C8"/>
    <w:rsid w:val="00BE0F9E"/>
    <w:rsid w:val="00BE122C"/>
    <w:rsid w:val="00BE1463"/>
    <w:rsid w:val="00BE3249"/>
    <w:rsid w:val="00BE40BA"/>
    <w:rsid w:val="00BE45DF"/>
    <w:rsid w:val="00BE4660"/>
    <w:rsid w:val="00BE477A"/>
    <w:rsid w:val="00BE50FF"/>
    <w:rsid w:val="00BE5B2C"/>
    <w:rsid w:val="00BE5FC0"/>
    <w:rsid w:val="00BE690C"/>
    <w:rsid w:val="00BE69AB"/>
    <w:rsid w:val="00BE6BA6"/>
    <w:rsid w:val="00BE7AFB"/>
    <w:rsid w:val="00BE7C15"/>
    <w:rsid w:val="00BF087D"/>
    <w:rsid w:val="00BF1225"/>
    <w:rsid w:val="00BF1399"/>
    <w:rsid w:val="00BF1EDD"/>
    <w:rsid w:val="00BF1EDF"/>
    <w:rsid w:val="00BF24B1"/>
    <w:rsid w:val="00BF2664"/>
    <w:rsid w:val="00BF2A6D"/>
    <w:rsid w:val="00BF336B"/>
    <w:rsid w:val="00BF395D"/>
    <w:rsid w:val="00BF3DF8"/>
    <w:rsid w:val="00BF4839"/>
    <w:rsid w:val="00BF5BD8"/>
    <w:rsid w:val="00BF602B"/>
    <w:rsid w:val="00BF6DFC"/>
    <w:rsid w:val="00BF6F0D"/>
    <w:rsid w:val="00BF7DA4"/>
    <w:rsid w:val="00C005BF"/>
    <w:rsid w:val="00C00695"/>
    <w:rsid w:val="00C00AD0"/>
    <w:rsid w:val="00C00B6E"/>
    <w:rsid w:val="00C00BA5"/>
    <w:rsid w:val="00C00BC9"/>
    <w:rsid w:val="00C011B0"/>
    <w:rsid w:val="00C016D0"/>
    <w:rsid w:val="00C04888"/>
    <w:rsid w:val="00C04E84"/>
    <w:rsid w:val="00C051ED"/>
    <w:rsid w:val="00C05A58"/>
    <w:rsid w:val="00C07164"/>
    <w:rsid w:val="00C0747D"/>
    <w:rsid w:val="00C10425"/>
    <w:rsid w:val="00C1058E"/>
    <w:rsid w:val="00C10688"/>
    <w:rsid w:val="00C1198A"/>
    <w:rsid w:val="00C11A58"/>
    <w:rsid w:val="00C11C07"/>
    <w:rsid w:val="00C124F4"/>
    <w:rsid w:val="00C127F4"/>
    <w:rsid w:val="00C1298A"/>
    <w:rsid w:val="00C129EB"/>
    <w:rsid w:val="00C13C7C"/>
    <w:rsid w:val="00C14C98"/>
    <w:rsid w:val="00C163D8"/>
    <w:rsid w:val="00C17EF6"/>
    <w:rsid w:val="00C17FA1"/>
    <w:rsid w:val="00C20DA5"/>
    <w:rsid w:val="00C20F0B"/>
    <w:rsid w:val="00C22257"/>
    <w:rsid w:val="00C22F37"/>
    <w:rsid w:val="00C23DFA"/>
    <w:rsid w:val="00C245F4"/>
    <w:rsid w:val="00C24EB8"/>
    <w:rsid w:val="00C2507E"/>
    <w:rsid w:val="00C250DB"/>
    <w:rsid w:val="00C251D8"/>
    <w:rsid w:val="00C252D1"/>
    <w:rsid w:val="00C25B3A"/>
    <w:rsid w:val="00C26E28"/>
    <w:rsid w:val="00C26FC4"/>
    <w:rsid w:val="00C27DE5"/>
    <w:rsid w:val="00C305D4"/>
    <w:rsid w:val="00C312D2"/>
    <w:rsid w:val="00C315BF"/>
    <w:rsid w:val="00C32A66"/>
    <w:rsid w:val="00C34F6C"/>
    <w:rsid w:val="00C354EB"/>
    <w:rsid w:val="00C3587C"/>
    <w:rsid w:val="00C35926"/>
    <w:rsid w:val="00C36050"/>
    <w:rsid w:val="00C360AE"/>
    <w:rsid w:val="00C36C98"/>
    <w:rsid w:val="00C378CB"/>
    <w:rsid w:val="00C37C66"/>
    <w:rsid w:val="00C37F25"/>
    <w:rsid w:val="00C40D01"/>
    <w:rsid w:val="00C40F85"/>
    <w:rsid w:val="00C41207"/>
    <w:rsid w:val="00C4155B"/>
    <w:rsid w:val="00C42219"/>
    <w:rsid w:val="00C422E3"/>
    <w:rsid w:val="00C42710"/>
    <w:rsid w:val="00C429B0"/>
    <w:rsid w:val="00C4353D"/>
    <w:rsid w:val="00C439FE"/>
    <w:rsid w:val="00C4421F"/>
    <w:rsid w:val="00C44C90"/>
    <w:rsid w:val="00C45502"/>
    <w:rsid w:val="00C459E7"/>
    <w:rsid w:val="00C4610A"/>
    <w:rsid w:val="00C46715"/>
    <w:rsid w:val="00C46B1F"/>
    <w:rsid w:val="00C5078D"/>
    <w:rsid w:val="00C513BC"/>
    <w:rsid w:val="00C51402"/>
    <w:rsid w:val="00C51850"/>
    <w:rsid w:val="00C51C5C"/>
    <w:rsid w:val="00C5278F"/>
    <w:rsid w:val="00C52F16"/>
    <w:rsid w:val="00C53388"/>
    <w:rsid w:val="00C53CDE"/>
    <w:rsid w:val="00C548C3"/>
    <w:rsid w:val="00C55D43"/>
    <w:rsid w:val="00C566A2"/>
    <w:rsid w:val="00C56B5A"/>
    <w:rsid w:val="00C5738C"/>
    <w:rsid w:val="00C578D1"/>
    <w:rsid w:val="00C60790"/>
    <w:rsid w:val="00C60B82"/>
    <w:rsid w:val="00C60DD3"/>
    <w:rsid w:val="00C612E0"/>
    <w:rsid w:val="00C61A2C"/>
    <w:rsid w:val="00C61E26"/>
    <w:rsid w:val="00C61FB3"/>
    <w:rsid w:val="00C62622"/>
    <w:rsid w:val="00C6370B"/>
    <w:rsid w:val="00C63EBD"/>
    <w:rsid w:val="00C63FB1"/>
    <w:rsid w:val="00C6401A"/>
    <w:rsid w:val="00C6441E"/>
    <w:rsid w:val="00C64893"/>
    <w:rsid w:val="00C64B43"/>
    <w:rsid w:val="00C64FA2"/>
    <w:rsid w:val="00C663FB"/>
    <w:rsid w:val="00C70B1B"/>
    <w:rsid w:val="00C7151B"/>
    <w:rsid w:val="00C717EF"/>
    <w:rsid w:val="00C72389"/>
    <w:rsid w:val="00C734EE"/>
    <w:rsid w:val="00C73960"/>
    <w:rsid w:val="00C73B40"/>
    <w:rsid w:val="00C73CBE"/>
    <w:rsid w:val="00C74708"/>
    <w:rsid w:val="00C7475C"/>
    <w:rsid w:val="00C754C2"/>
    <w:rsid w:val="00C755ED"/>
    <w:rsid w:val="00C7604B"/>
    <w:rsid w:val="00C76319"/>
    <w:rsid w:val="00C7642F"/>
    <w:rsid w:val="00C772CD"/>
    <w:rsid w:val="00C776BF"/>
    <w:rsid w:val="00C776ED"/>
    <w:rsid w:val="00C77BAD"/>
    <w:rsid w:val="00C80284"/>
    <w:rsid w:val="00C8043A"/>
    <w:rsid w:val="00C80B20"/>
    <w:rsid w:val="00C81578"/>
    <w:rsid w:val="00C81FDB"/>
    <w:rsid w:val="00C82472"/>
    <w:rsid w:val="00C82AC3"/>
    <w:rsid w:val="00C84339"/>
    <w:rsid w:val="00C850B8"/>
    <w:rsid w:val="00C8590A"/>
    <w:rsid w:val="00C86685"/>
    <w:rsid w:val="00C867CF"/>
    <w:rsid w:val="00C86FA6"/>
    <w:rsid w:val="00C8706B"/>
    <w:rsid w:val="00C87C4A"/>
    <w:rsid w:val="00C90075"/>
    <w:rsid w:val="00C9035E"/>
    <w:rsid w:val="00C91E11"/>
    <w:rsid w:val="00C92D4A"/>
    <w:rsid w:val="00C945A8"/>
    <w:rsid w:val="00C946B9"/>
    <w:rsid w:val="00C94A30"/>
    <w:rsid w:val="00C94A69"/>
    <w:rsid w:val="00C94C5C"/>
    <w:rsid w:val="00C94FB2"/>
    <w:rsid w:val="00C95E72"/>
    <w:rsid w:val="00C960B6"/>
    <w:rsid w:val="00C96C9C"/>
    <w:rsid w:val="00C96F4E"/>
    <w:rsid w:val="00C9747F"/>
    <w:rsid w:val="00C976BF"/>
    <w:rsid w:val="00C97B0A"/>
    <w:rsid w:val="00CA02D3"/>
    <w:rsid w:val="00CA0D73"/>
    <w:rsid w:val="00CA17BC"/>
    <w:rsid w:val="00CA19C6"/>
    <w:rsid w:val="00CA1FF3"/>
    <w:rsid w:val="00CA2519"/>
    <w:rsid w:val="00CA2CBF"/>
    <w:rsid w:val="00CA2DBC"/>
    <w:rsid w:val="00CA339A"/>
    <w:rsid w:val="00CA383E"/>
    <w:rsid w:val="00CA388D"/>
    <w:rsid w:val="00CA38A1"/>
    <w:rsid w:val="00CA5344"/>
    <w:rsid w:val="00CA5D47"/>
    <w:rsid w:val="00CA5EB4"/>
    <w:rsid w:val="00CA7532"/>
    <w:rsid w:val="00CA78EE"/>
    <w:rsid w:val="00CB0319"/>
    <w:rsid w:val="00CB05B5"/>
    <w:rsid w:val="00CB1187"/>
    <w:rsid w:val="00CB2285"/>
    <w:rsid w:val="00CB245F"/>
    <w:rsid w:val="00CB2553"/>
    <w:rsid w:val="00CB281F"/>
    <w:rsid w:val="00CB3867"/>
    <w:rsid w:val="00CB4F21"/>
    <w:rsid w:val="00CB58AF"/>
    <w:rsid w:val="00CB60B5"/>
    <w:rsid w:val="00CB6230"/>
    <w:rsid w:val="00CB6960"/>
    <w:rsid w:val="00CB6C32"/>
    <w:rsid w:val="00CB7C94"/>
    <w:rsid w:val="00CB7F8D"/>
    <w:rsid w:val="00CC05F6"/>
    <w:rsid w:val="00CC07F5"/>
    <w:rsid w:val="00CC1C88"/>
    <w:rsid w:val="00CC26C1"/>
    <w:rsid w:val="00CC3B9B"/>
    <w:rsid w:val="00CC3F12"/>
    <w:rsid w:val="00CC434A"/>
    <w:rsid w:val="00CC478E"/>
    <w:rsid w:val="00CC53BA"/>
    <w:rsid w:val="00CC5609"/>
    <w:rsid w:val="00CC6602"/>
    <w:rsid w:val="00CC6D0A"/>
    <w:rsid w:val="00CC6EE5"/>
    <w:rsid w:val="00CD1117"/>
    <w:rsid w:val="00CD1C4D"/>
    <w:rsid w:val="00CD1F44"/>
    <w:rsid w:val="00CD2673"/>
    <w:rsid w:val="00CD2F34"/>
    <w:rsid w:val="00CD2FEE"/>
    <w:rsid w:val="00CD34D1"/>
    <w:rsid w:val="00CD3AEE"/>
    <w:rsid w:val="00CD3EC7"/>
    <w:rsid w:val="00CD3F11"/>
    <w:rsid w:val="00CD3F14"/>
    <w:rsid w:val="00CD3FD2"/>
    <w:rsid w:val="00CD417C"/>
    <w:rsid w:val="00CD4E4D"/>
    <w:rsid w:val="00CD531D"/>
    <w:rsid w:val="00CD573A"/>
    <w:rsid w:val="00CD6196"/>
    <w:rsid w:val="00CD61A1"/>
    <w:rsid w:val="00CD64C3"/>
    <w:rsid w:val="00CD6C21"/>
    <w:rsid w:val="00CD7EDF"/>
    <w:rsid w:val="00CE00E6"/>
    <w:rsid w:val="00CE036D"/>
    <w:rsid w:val="00CE09D3"/>
    <w:rsid w:val="00CE0D79"/>
    <w:rsid w:val="00CE1026"/>
    <w:rsid w:val="00CE17B7"/>
    <w:rsid w:val="00CE190E"/>
    <w:rsid w:val="00CE1B6D"/>
    <w:rsid w:val="00CE1DDE"/>
    <w:rsid w:val="00CE3023"/>
    <w:rsid w:val="00CE3235"/>
    <w:rsid w:val="00CE3B43"/>
    <w:rsid w:val="00CE4B20"/>
    <w:rsid w:val="00CE5DA6"/>
    <w:rsid w:val="00CE6077"/>
    <w:rsid w:val="00CE6AF7"/>
    <w:rsid w:val="00CE6D31"/>
    <w:rsid w:val="00CE7CEF"/>
    <w:rsid w:val="00CE7F34"/>
    <w:rsid w:val="00CF0FDD"/>
    <w:rsid w:val="00CF1345"/>
    <w:rsid w:val="00CF15B9"/>
    <w:rsid w:val="00CF1B94"/>
    <w:rsid w:val="00CF1F69"/>
    <w:rsid w:val="00CF22F2"/>
    <w:rsid w:val="00CF36C0"/>
    <w:rsid w:val="00CF3976"/>
    <w:rsid w:val="00CF3BE2"/>
    <w:rsid w:val="00CF4340"/>
    <w:rsid w:val="00CF5BE5"/>
    <w:rsid w:val="00CF6200"/>
    <w:rsid w:val="00CF6294"/>
    <w:rsid w:val="00CF65CE"/>
    <w:rsid w:val="00CF6936"/>
    <w:rsid w:val="00CF7353"/>
    <w:rsid w:val="00CF7CE5"/>
    <w:rsid w:val="00CF7E0B"/>
    <w:rsid w:val="00D00046"/>
    <w:rsid w:val="00D00C79"/>
    <w:rsid w:val="00D00CB3"/>
    <w:rsid w:val="00D01F23"/>
    <w:rsid w:val="00D02143"/>
    <w:rsid w:val="00D02288"/>
    <w:rsid w:val="00D02412"/>
    <w:rsid w:val="00D02F01"/>
    <w:rsid w:val="00D03166"/>
    <w:rsid w:val="00D03C43"/>
    <w:rsid w:val="00D04341"/>
    <w:rsid w:val="00D0496C"/>
    <w:rsid w:val="00D04A15"/>
    <w:rsid w:val="00D05223"/>
    <w:rsid w:val="00D0532F"/>
    <w:rsid w:val="00D06A9E"/>
    <w:rsid w:val="00D07CF0"/>
    <w:rsid w:val="00D1014C"/>
    <w:rsid w:val="00D11255"/>
    <w:rsid w:val="00D11B22"/>
    <w:rsid w:val="00D120E6"/>
    <w:rsid w:val="00D1281D"/>
    <w:rsid w:val="00D12E08"/>
    <w:rsid w:val="00D12F00"/>
    <w:rsid w:val="00D130A5"/>
    <w:rsid w:val="00D166FF"/>
    <w:rsid w:val="00D1731B"/>
    <w:rsid w:val="00D1774B"/>
    <w:rsid w:val="00D17905"/>
    <w:rsid w:val="00D1790A"/>
    <w:rsid w:val="00D1794B"/>
    <w:rsid w:val="00D20156"/>
    <w:rsid w:val="00D21487"/>
    <w:rsid w:val="00D2176D"/>
    <w:rsid w:val="00D21D3E"/>
    <w:rsid w:val="00D235E9"/>
    <w:rsid w:val="00D2394D"/>
    <w:rsid w:val="00D24F5C"/>
    <w:rsid w:val="00D24FC7"/>
    <w:rsid w:val="00D253BE"/>
    <w:rsid w:val="00D25841"/>
    <w:rsid w:val="00D25A4A"/>
    <w:rsid w:val="00D25E78"/>
    <w:rsid w:val="00D267F3"/>
    <w:rsid w:val="00D2727E"/>
    <w:rsid w:val="00D27844"/>
    <w:rsid w:val="00D278B6"/>
    <w:rsid w:val="00D30A36"/>
    <w:rsid w:val="00D315ED"/>
    <w:rsid w:val="00D3205F"/>
    <w:rsid w:val="00D324C5"/>
    <w:rsid w:val="00D32AD2"/>
    <w:rsid w:val="00D32D18"/>
    <w:rsid w:val="00D3326A"/>
    <w:rsid w:val="00D33587"/>
    <w:rsid w:val="00D345C5"/>
    <w:rsid w:val="00D34B15"/>
    <w:rsid w:val="00D353BC"/>
    <w:rsid w:val="00D354FA"/>
    <w:rsid w:val="00D368C3"/>
    <w:rsid w:val="00D37770"/>
    <w:rsid w:val="00D37E34"/>
    <w:rsid w:val="00D40344"/>
    <w:rsid w:val="00D40726"/>
    <w:rsid w:val="00D40C71"/>
    <w:rsid w:val="00D41538"/>
    <w:rsid w:val="00D41AAB"/>
    <w:rsid w:val="00D42463"/>
    <w:rsid w:val="00D42E8C"/>
    <w:rsid w:val="00D431BE"/>
    <w:rsid w:val="00D43805"/>
    <w:rsid w:val="00D43B72"/>
    <w:rsid w:val="00D43F4A"/>
    <w:rsid w:val="00D44F72"/>
    <w:rsid w:val="00D457E6"/>
    <w:rsid w:val="00D46D1D"/>
    <w:rsid w:val="00D47364"/>
    <w:rsid w:val="00D47588"/>
    <w:rsid w:val="00D47617"/>
    <w:rsid w:val="00D47C66"/>
    <w:rsid w:val="00D507E0"/>
    <w:rsid w:val="00D518EA"/>
    <w:rsid w:val="00D51C19"/>
    <w:rsid w:val="00D51EF3"/>
    <w:rsid w:val="00D520DF"/>
    <w:rsid w:val="00D52160"/>
    <w:rsid w:val="00D52A1A"/>
    <w:rsid w:val="00D5351D"/>
    <w:rsid w:val="00D53B62"/>
    <w:rsid w:val="00D55287"/>
    <w:rsid w:val="00D552CC"/>
    <w:rsid w:val="00D572B5"/>
    <w:rsid w:val="00D5777B"/>
    <w:rsid w:val="00D57EA4"/>
    <w:rsid w:val="00D615C6"/>
    <w:rsid w:val="00D6162C"/>
    <w:rsid w:val="00D62E82"/>
    <w:rsid w:val="00D636C1"/>
    <w:rsid w:val="00D63D21"/>
    <w:rsid w:val="00D6409B"/>
    <w:rsid w:val="00D64590"/>
    <w:rsid w:val="00D6478D"/>
    <w:rsid w:val="00D64F04"/>
    <w:rsid w:val="00D6527D"/>
    <w:rsid w:val="00D6579D"/>
    <w:rsid w:val="00D657E6"/>
    <w:rsid w:val="00D65E04"/>
    <w:rsid w:val="00D65F54"/>
    <w:rsid w:val="00D661C5"/>
    <w:rsid w:val="00D6669B"/>
    <w:rsid w:val="00D669BE"/>
    <w:rsid w:val="00D66E42"/>
    <w:rsid w:val="00D66F66"/>
    <w:rsid w:val="00D67457"/>
    <w:rsid w:val="00D6760A"/>
    <w:rsid w:val="00D70139"/>
    <w:rsid w:val="00D7080E"/>
    <w:rsid w:val="00D70B23"/>
    <w:rsid w:val="00D7233A"/>
    <w:rsid w:val="00D72513"/>
    <w:rsid w:val="00D72917"/>
    <w:rsid w:val="00D75AC8"/>
    <w:rsid w:val="00D75C8B"/>
    <w:rsid w:val="00D75D4A"/>
    <w:rsid w:val="00D760A3"/>
    <w:rsid w:val="00D778F1"/>
    <w:rsid w:val="00D8084F"/>
    <w:rsid w:val="00D818A3"/>
    <w:rsid w:val="00D81B29"/>
    <w:rsid w:val="00D81D9B"/>
    <w:rsid w:val="00D81FD8"/>
    <w:rsid w:val="00D82BCC"/>
    <w:rsid w:val="00D83AD9"/>
    <w:rsid w:val="00D84501"/>
    <w:rsid w:val="00D85282"/>
    <w:rsid w:val="00D85C37"/>
    <w:rsid w:val="00D85F53"/>
    <w:rsid w:val="00D86321"/>
    <w:rsid w:val="00D86F0F"/>
    <w:rsid w:val="00D8711C"/>
    <w:rsid w:val="00D8798D"/>
    <w:rsid w:val="00D87F15"/>
    <w:rsid w:val="00D90F66"/>
    <w:rsid w:val="00D915B7"/>
    <w:rsid w:val="00D917D0"/>
    <w:rsid w:val="00D918DB"/>
    <w:rsid w:val="00D91AF4"/>
    <w:rsid w:val="00D91C72"/>
    <w:rsid w:val="00D91EE3"/>
    <w:rsid w:val="00D91F8A"/>
    <w:rsid w:val="00D924CA"/>
    <w:rsid w:val="00D92608"/>
    <w:rsid w:val="00D928D1"/>
    <w:rsid w:val="00D93976"/>
    <w:rsid w:val="00D94EB4"/>
    <w:rsid w:val="00D95D30"/>
    <w:rsid w:val="00D96410"/>
    <w:rsid w:val="00D96BA0"/>
    <w:rsid w:val="00D96C4B"/>
    <w:rsid w:val="00D96D44"/>
    <w:rsid w:val="00D97148"/>
    <w:rsid w:val="00DA01EE"/>
    <w:rsid w:val="00DA06F6"/>
    <w:rsid w:val="00DA0876"/>
    <w:rsid w:val="00DA0E52"/>
    <w:rsid w:val="00DA0F85"/>
    <w:rsid w:val="00DA1B07"/>
    <w:rsid w:val="00DA1CEB"/>
    <w:rsid w:val="00DA2130"/>
    <w:rsid w:val="00DA2840"/>
    <w:rsid w:val="00DA2AEC"/>
    <w:rsid w:val="00DA3586"/>
    <w:rsid w:val="00DA3732"/>
    <w:rsid w:val="00DA3E5F"/>
    <w:rsid w:val="00DA4038"/>
    <w:rsid w:val="00DA45C8"/>
    <w:rsid w:val="00DA5075"/>
    <w:rsid w:val="00DA5178"/>
    <w:rsid w:val="00DA56BE"/>
    <w:rsid w:val="00DA572D"/>
    <w:rsid w:val="00DA604F"/>
    <w:rsid w:val="00DA6920"/>
    <w:rsid w:val="00DA6A48"/>
    <w:rsid w:val="00DA6AAF"/>
    <w:rsid w:val="00DA71D5"/>
    <w:rsid w:val="00DA79CB"/>
    <w:rsid w:val="00DB0640"/>
    <w:rsid w:val="00DB1E7E"/>
    <w:rsid w:val="00DB222D"/>
    <w:rsid w:val="00DB2AF6"/>
    <w:rsid w:val="00DB2DFD"/>
    <w:rsid w:val="00DB3E20"/>
    <w:rsid w:val="00DB3EB0"/>
    <w:rsid w:val="00DB3FF4"/>
    <w:rsid w:val="00DB4031"/>
    <w:rsid w:val="00DB4180"/>
    <w:rsid w:val="00DB4708"/>
    <w:rsid w:val="00DB50CC"/>
    <w:rsid w:val="00DB54ED"/>
    <w:rsid w:val="00DB5981"/>
    <w:rsid w:val="00DB5E26"/>
    <w:rsid w:val="00DB5FB3"/>
    <w:rsid w:val="00DB645A"/>
    <w:rsid w:val="00DB681B"/>
    <w:rsid w:val="00DB6B96"/>
    <w:rsid w:val="00DB7108"/>
    <w:rsid w:val="00DC1122"/>
    <w:rsid w:val="00DC1131"/>
    <w:rsid w:val="00DC13E1"/>
    <w:rsid w:val="00DC23A7"/>
    <w:rsid w:val="00DC2AD4"/>
    <w:rsid w:val="00DC32C9"/>
    <w:rsid w:val="00DC3415"/>
    <w:rsid w:val="00DC3A79"/>
    <w:rsid w:val="00DC43C7"/>
    <w:rsid w:val="00DC4E47"/>
    <w:rsid w:val="00DC6233"/>
    <w:rsid w:val="00DC6FB4"/>
    <w:rsid w:val="00DC79F1"/>
    <w:rsid w:val="00DD0262"/>
    <w:rsid w:val="00DD0881"/>
    <w:rsid w:val="00DD0AFC"/>
    <w:rsid w:val="00DD0C1C"/>
    <w:rsid w:val="00DD0F28"/>
    <w:rsid w:val="00DD104C"/>
    <w:rsid w:val="00DD1108"/>
    <w:rsid w:val="00DD16CC"/>
    <w:rsid w:val="00DD1907"/>
    <w:rsid w:val="00DD1C26"/>
    <w:rsid w:val="00DD44A5"/>
    <w:rsid w:val="00DD562B"/>
    <w:rsid w:val="00DD5704"/>
    <w:rsid w:val="00DD5E99"/>
    <w:rsid w:val="00DD6026"/>
    <w:rsid w:val="00DD6738"/>
    <w:rsid w:val="00DD6ECD"/>
    <w:rsid w:val="00DD7C56"/>
    <w:rsid w:val="00DE04F1"/>
    <w:rsid w:val="00DE110A"/>
    <w:rsid w:val="00DE1527"/>
    <w:rsid w:val="00DE2AE6"/>
    <w:rsid w:val="00DE3086"/>
    <w:rsid w:val="00DE3C7C"/>
    <w:rsid w:val="00DE4797"/>
    <w:rsid w:val="00DE5483"/>
    <w:rsid w:val="00DE5ECD"/>
    <w:rsid w:val="00DE5F7E"/>
    <w:rsid w:val="00DE70AD"/>
    <w:rsid w:val="00DE7AED"/>
    <w:rsid w:val="00DF1106"/>
    <w:rsid w:val="00DF15B8"/>
    <w:rsid w:val="00DF2C29"/>
    <w:rsid w:val="00DF2E3F"/>
    <w:rsid w:val="00DF3284"/>
    <w:rsid w:val="00DF3542"/>
    <w:rsid w:val="00DF3E78"/>
    <w:rsid w:val="00DF5EB5"/>
    <w:rsid w:val="00DF67F9"/>
    <w:rsid w:val="00DF6A6C"/>
    <w:rsid w:val="00DF6F7D"/>
    <w:rsid w:val="00DF76AA"/>
    <w:rsid w:val="00DF79C9"/>
    <w:rsid w:val="00DF7FF3"/>
    <w:rsid w:val="00E00C8B"/>
    <w:rsid w:val="00E00FF0"/>
    <w:rsid w:val="00E01026"/>
    <w:rsid w:val="00E013D4"/>
    <w:rsid w:val="00E02036"/>
    <w:rsid w:val="00E02325"/>
    <w:rsid w:val="00E02632"/>
    <w:rsid w:val="00E03A7D"/>
    <w:rsid w:val="00E03D7D"/>
    <w:rsid w:val="00E04552"/>
    <w:rsid w:val="00E05357"/>
    <w:rsid w:val="00E05487"/>
    <w:rsid w:val="00E05A50"/>
    <w:rsid w:val="00E063FC"/>
    <w:rsid w:val="00E0642A"/>
    <w:rsid w:val="00E06BFF"/>
    <w:rsid w:val="00E0725F"/>
    <w:rsid w:val="00E079FB"/>
    <w:rsid w:val="00E07F35"/>
    <w:rsid w:val="00E1132F"/>
    <w:rsid w:val="00E118E3"/>
    <w:rsid w:val="00E11F32"/>
    <w:rsid w:val="00E132DA"/>
    <w:rsid w:val="00E138F0"/>
    <w:rsid w:val="00E140D5"/>
    <w:rsid w:val="00E14792"/>
    <w:rsid w:val="00E14FEE"/>
    <w:rsid w:val="00E1584B"/>
    <w:rsid w:val="00E15A51"/>
    <w:rsid w:val="00E15C0C"/>
    <w:rsid w:val="00E15DD5"/>
    <w:rsid w:val="00E17815"/>
    <w:rsid w:val="00E2050F"/>
    <w:rsid w:val="00E21160"/>
    <w:rsid w:val="00E226DD"/>
    <w:rsid w:val="00E22D30"/>
    <w:rsid w:val="00E22E5D"/>
    <w:rsid w:val="00E230D3"/>
    <w:rsid w:val="00E23E8E"/>
    <w:rsid w:val="00E2415A"/>
    <w:rsid w:val="00E242FB"/>
    <w:rsid w:val="00E24662"/>
    <w:rsid w:val="00E249F9"/>
    <w:rsid w:val="00E255FA"/>
    <w:rsid w:val="00E25909"/>
    <w:rsid w:val="00E25E7F"/>
    <w:rsid w:val="00E26D6A"/>
    <w:rsid w:val="00E2787D"/>
    <w:rsid w:val="00E27E6E"/>
    <w:rsid w:val="00E30785"/>
    <w:rsid w:val="00E30E24"/>
    <w:rsid w:val="00E30F3F"/>
    <w:rsid w:val="00E31162"/>
    <w:rsid w:val="00E31D70"/>
    <w:rsid w:val="00E31E21"/>
    <w:rsid w:val="00E32004"/>
    <w:rsid w:val="00E32596"/>
    <w:rsid w:val="00E325CD"/>
    <w:rsid w:val="00E33B89"/>
    <w:rsid w:val="00E3471C"/>
    <w:rsid w:val="00E349F2"/>
    <w:rsid w:val="00E351CD"/>
    <w:rsid w:val="00E351F2"/>
    <w:rsid w:val="00E3558F"/>
    <w:rsid w:val="00E355E2"/>
    <w:rsid w:val="00E35E13"/>
    <w:rsid w:val="00E36047"/>
    <w:rsid w:val="00E36A93"/>
    <w:rsid w:val="00E36CFE"/>
    <w:rsid w:val="00E36D13"/>
    <w:rsid w:val="00E37855"/>
    <w:rsid w:val="00E379CB"/>
    <w:rsid w:val="00E402F5"/>
    <w:rsid w:val="00E404B9"/>
    <w:rsid w:val="00E4207F"/>
    <w:rsid w:val="00E4209D"/>
    <w:rsid w:val="00E42254"/>
    <w:rsid w:val="00E42483"/>
    <w:rsid w:val="00E43303"/>
    <w:rsid w:val="00E436C8"/>
    <w:rsid w:val="00E44428"/>
    <w:rsid w:val="00E44816"/>
    <w:rsid w:val="00E45163"/>
    <w:rsid w:val="00E458CF"/>
    <w:rsid w:val="00E45F7E"/>
    <w:rsid w:val="00E46B57"/>
    <w:rsid w:val="00E4708A"/>
    <w:rsid w:val="00E47248"/>
    <w:rsid w:val="00E475EC"/>
    <w:rsid w:val="00E477AA"/>
    <w:rsid w:val="00E50109"/>
    <w:rsid w:val="00E508D7"/>
    <w:rsid w:val="00E50A4A"/>
    <w:rsid w:val="00E5176B"/>
    <w:rsid w:val="00E519E6"/>
    <w:rsid w:val="00E51DF4"/>
    <w:rsid w:val="00E52686"/>
    <w:rsid w:val="00E5279B"/>
    <w:rsid w:val="00E52CD3"/>
    <w:rsid w:val="00E52E31"/>
    <w:rsid w:val="00E535CD"/>
    <w:rsid w:val="00E541B8"/>
    <w:rsid w:val="00E5421A"/>
    <w:rsid w:val="00E546C4"/>
    <w:rsid w:val="00E54884"/>
    <w:rsid w:val="00E5499E"/>
    <w:rsid w:val="00E55182"/>
    <w:rsid w:val="00E55CC6"/>
    <w:rsid w:val="00E562E1"/>
    <w:rsid w:val="00E5730E"/>
    <w:rsid w:val="00E57B1E"/>
    <w:rsid w:val="00E60C68"/>
    <w:rsid w:val="00E60EF9"/>
    <w:rsid w:val="00E6160B"/>
    <w:rsid w:val="00E619BE"/>
    <w:rsid w:val="00E61DC0"/>
    <w:rsid w:val="00E62BD6"/>
    <w:rsid w:val="00E641AB"/>
    <w:rsid w:val="00E64D61"/>
    <w:rsid w:val="00E64F17"/>
    <w:rsid w:val="00E652DD"/>
    <w:rsid w:val="00E6561D"/>
    <w:rsid w:val="00E65902"/>
    <w:rsid w:val="00E65D22"/>
    <w:rsid w:val="00E65D4F"/>
    <w:rsid w:val="00E6632D"/>
    <w:rsid w:val="00E6674E"/>
    <w:rsid w:val="00E66C7D"/>
    <w:rsid w:val="00E67012"/>
    <w:rsid w:val="00E702AC"/>
    <w:rsid w:val="00E70900"/>
    <w:rsid w:val="00E7167A"/>
    <w:rsid w:val="00E718C1"/>
    <w:rsid w:val="00E71FAE"/>
    <w:rsid w:val="00E73036"/>
    <w:rsid w:val="00E739C1"/>
    <w:rsid w:val="00E75DE0"/>
    <w:rsid w:val="00E76518"/>
    <w:rsid w:val="00E77CF7"/>
    <w:rsid w:val="00E77EE6"/>
    <w:rsid w:val="00E80334"/>
    <w:rsid w:val="00E80366"/>
    <w:rsid w:val="00E812A9"/>
    <w:rsid w:val="00E815B0"/>
    <w:rsid w:val="00E81660"/>
    <w:rsid w:val="00E81CC1"/>
    <w:rsid w:val="00E81CC9"/>
    <w:rsid w:val="00E82EC0"/>
    <w:rsid w:val="00E83A04"/>
    <w:rsid w:val="00E8427A"/>
    <w:rsid w:val="00E84827"/>
    <w:rsid w:val="00E85160"/>
    <w:rsid w:val="00E8547E"/>
    <w:rsid w:val="00E856F1"/>
    <w:rsid w:val="00E862BD"/>
    <w:rsid w:val="00E8699A"/>
    <w:rsid w:val="00E87189"/>
    <w:rsid w:val="00E871CD"/>
    <w:rsid w:val="00E87303"/>
    <w:rsid w:val="00E87644"/>
    <w:rsid w:val="00E90434"/>
    <w:rsid w:val="00E90F59"/>
    <w:rsid w:val="00E927D0"/>
    <w:rsid w:val="00E929B1"/>
    <w:rsid w:val="00E9301C"/>
    <w:rsid w:val="00E935B2"/>
    <w:rsid w:val="00E936A4"/>
    <w:rsid w:val="00E93F05"/>
    <w:rsid w:val="00E94082"/>
    <w:rsid w:val="00E943B7"/>
    <w:rsid w:val="00E94B75"/>
    <w:rsid w:val="00E94B78"/>
    <w:rsid w:val="00E951BD"/>
    <w:rsid w:val="00E9537B"/>
    <w:rsid w:val="00E96B6B"/>
    <w:rsid w:val="00E97C35"/>
    <w:rsid w:val="00EA0BD2"/>
    <w:rsid w:val="00EA366E"/>
    <w:rsid w:val="00EA36F7"/>
    <w:rsid w:val="00EA39AB"/>
    <w:rsid w:val="00EA5D00"/>
    <w:rsid w:val="00EB0061"/>
    <w:rsid w:val="00EB02EA"/>
    <w:rsid w:val="00EB0335"/>
    <w:rsid w:val="00EB03E1"/>
    <w:rsid w:val="00EB04A1"/>
    <w:rsid w:val="00EB0A99"/>
    <w:rsid w:val="00EB104B"/>
    <w:rsid w:val="00EB124A"/>
    <w:rsid w:val="00EB12F6"/>
    <w:rsid w:val="00EB13B8"/>
    <w:rsid w:val="00EB236D"/>
    <w:rsid w:val="00EB24A0"/>
    <w:rsid w:val="00EB2B81"/>
    <w:rsid w:val="00EB2D23"/>
    <w:rsid w:val="00EB3694"/>
    <w:rsid w:val="00EB4A6F"/>
    <w:rsid w:val="00EB573A"/>
    <w:rsid w:val="00EB5CDB"/>
    <w:rsid w:val="00EB607A"/>
    <w:rsid w:val="00EB63F0"/>
    <w:rsid w:val="00EB7A01"/>
    <w:rsid w:val="00EB7FD4"/>
    <w:rsid w:val="00EC0478"/>
    <w:rsid w:val="00EC0F51"/>
    <w:rsid w:val="00EC119D"/>
    <w:rsid w:val="00EC11D5"/>
    <w:rsid w:val="00EC197C"/>
    <w:rsid w:val="00EC1AD1"/>
    <w:rsid w:val="00EC1F52"/>
    <w:rsid w:val="00EC2C49"/>
    <w:rsid w:val="00EC321E"/>
    <w:rsid w:val="00EC4449"/>
    <w:rsid w:val="00EC45BB"/>
    <w:rsid w:val="00EC460A"/>
    <w:rsid w:val="00EC5D9F"/>
    <w:rsid w:val="00EC62FE"/>
    <w:rsid w:val="00EC649D"/>
    <w:rsid w:val="00EC65F8"/>
    <w:rsid w:val="00EC6695"/>
    <w:rsid w:val="00EC6A71"/>
    <w:rsid w:val="00EC6EE5"/>
    <w:rsid w:val="00EC6F07"/>
    <w:rsid w:val="00ED0872"/>
    <w:rsid w:val="00ED0979"/>
    <w:rsid w:val="00ED0B08"/>
    <w:rsid w:val="00ED0E5E"/>
    <w:rsid w:val="00ED0F77"/>
    <w:rsid w:val="00ED114A"/>
    <w:rsid w:val="00ED165D"/>
    <w:rsid w:val="00ED16C9"/>
    <w:rsid w:val="00ED1E5C"/>
    <w:rsid w:val="00ED20ED"/>
    <w:rsid w:val="00ED2293"/>
    <w:rsid w:val="00ED259D"/>
    <w:rsid w:val="00ED2BD2"/>
    <w:rsid w:val="00ED3751"/>
    <w:rsid w:val="00ED3C8F"/>
    <w:rsid w:val="00ED4329"/>
    <w:rsid w:val="00ED452A"/>
    <w:rsid w:val="00ED4F22"/>
    <w:rsid w:val="00ED60B0"/>
    <w:rsid w:val="00ED614D"/>
    <w:rsid w:val="00ED7B43"/>
    <w:rsid w:val="00EE030C"/>
    <w:rsid w:val="00EE05FC"/>
    <w:rsid w:val="00EE07AB"/>
    <w:rsid w:val="00EE0E51"/>
    <w:rsid w:val="00EE10BB"/>
    <w:rsid w:val="00EE1627"/>
    <w:rsid w:val="00EE350B"/>
    <w:rsid w:val="00EE35F4"/>
    <w:rsid w:val="00EE37EA"/>
    <w:rsid w:val="00EE45B6"/>
    <w:rsid w:val="00EE48E5"/>
    <w:rsid w:val="00EE502A"/>
    <w:rsid w:val="00EE5421"/>
    <w:rsid w:val="00EE589D"/>
    <w:rsid w:val="00EE615A"/>
    <w:rsid w:val="00EE634D"/>
    <w:rsid w:val="00EE6F47"/>
    <w:rsid w:val="00EE727E"/>
    <w:rsid w:val="00EE730E"/>
    <w:rsid w:val="00EF0CA4"/>
    <w:rsid w:val="00EF0EE5"/>
    <w:rsid w:val="00EF119D"/>
    <w:rsid w:val="00EF1917"/>
    <w:rsid w:val="00EF30AB"/>
    <w:rsid w:val="00EF3914"/>
    <w:rsid w:val="00EF3934"/>
    <w:rsid w:val="00EF3D9E"/>
    <w:rsid w:val="00EF45F3"/>
    <w:rsid w:val="00EF5001"/>
    <w:rsid w:val="00EF500C"/>
    <w:rsid w:val="00EF5147"/>
    <w:rsid w:val="00EF5B51"/>
    <w:rsid w:val="00EF5F57"/>
    <w:rsid w:val="00EF66BF"/>
    <w:rsid w:val="00EF677A"/>
    <w:rsid w:val="00EF6F71"/>
    <w:rsid w:val="00EF7A21"/>
    <w:rsid w:val="00EF7FFD"/>
    <w:rsid w:val="00F00105"/>
    <w:rsid w:val="00F01A76"/>
    <w:rsid w:val="00F02038"/>
    <w:rsid w:val="00F0209B"/>
    <w:rsid w:val="00F02244"/>
    <w:rsid w:val="00F02495"/>
    <w:rsid w:val="00F02914"/>
    <w:rsid w:val="00F02B4C"/>
    <w:rsid w:val="00F02B6B"/>
    <w:rsid w:val="00F02F27"/>
    <w:rsid w:val="00F03040"/>
    <w:rsid w:val="00F048FD"/>
    <w:rsid w:val="00F04D3E"/>
    <w:rsid w:val="00F051B7"/>
    <w:rsid w:val="00F05973"/>
    <w:rsid w:val="00F059D6"/>
    <w:rsid w:val="00F06C16"/>
    <w:rsid w:val="00F06ECC"/>
    <w:rsid w:val="00F07682"/>
    <w:rsid w:val="00F0775E"/>
    <w:rsid w:val="00F1027B"/>
    <w:rsid w:val="00F107F4"/>
    <w:rsid w:val="00F10DB4"/>
    <w:rsid w:val="00F10FBC"/>
    <w:rsid w:val="00F11918"/>
    <w:rsid w:val="00F11ADC"/>
    <w:rsid w:val="00F1203A"/>
    <w:rsid w:val="00F1294B"/>
    <w:rsid w:val="00F12DE1"/>
    <w:rsid w:val="00F12FF4"/>
    <w:rsid w:val="00F12FFB"/>
    <w:rsid w:val="00F1319C"/>
    <w:rsid w:val="00F132A6"/>
    <w:rsid w:val="00F138E0"/>
    <w:rsid w:val="00F13EF7"/>
    <w:rsid w:val="00F13F3C"/>
    <w:rsid w:val="00F14385"/>
    <w:rsid w:val="00F1500B"/>
    <w:rsid w:val="00F155E0"/>
    <w:rsid w:val="00F1613E"/>
    <w:rsid w:val="00F16BEE"/>
    <w:rsid w:val="00F16C00"/>
    <w:rsid w:val="00F16E5B"/>
    <w:rsid w:val="00F17E7E"/>
    <w:rsid w:val="00F20085"/>
    <w:rsid w:val="00F20130"/>
    <w:rsid w:val="00F20250"/>
    <w:rsid w:val="00F210E8"/>
    <w:rsid w:val="00F2134C"/>
    <w:rsid w:val="00F21B05"/>
    <w:rsid w:val="00F21CBE"/>
    <w:rsid w:val="00F225E6"/>
    <w:rsid w:val="00F235C4"/>
    <w:rsid w:val="00F246B7"/>
    <w:rsid w:val="00F24D21"/>
    <w:rsid w:val="00F24FD0"/>
    <w:rsid w:val="00F27547"/>
    <w:rsid w:val="00F276C6"/>
    <w:rsid w:val="00F27981"/>
    <w:rsid w:val="00F3081E"/>
    <w:rsid w:val="00F3164E"/>
    <w:rsid w:val="00F31EC9"/>
    <w:rsid w:val="00F3240F"/>
    <w:rsid w:val="00F3285A"/>
    <w:rsid w:val="00F328A1"/>
    <w:rsid w:val="00F338F5"/>
    <w:rsid w:val="00F33E86"/>
    <w:rsid w:val="00F34E32"/>
    <w:rsid w:val="00F34FC6"/>
    <w:rsid w:val="00F3596E"/>
    <w:rsid w:val="00F36FCC"/>
    <w:rsid w:val="00F3754F"/>
    <w:rsid w:val="00F37D96"/>
    <w:rsid w:val="00F4038D"/>
    <w:rsid w:val="00F40CD2"/>
    <w:rsid w:val="00F414BC"/>
    <w:rsid w:val="00F426A2"/>
    <w:rsid w:val="00F437FF"/>
    <w:rsid w:val="00F44490"/>
    <w:rsid w:val="00F445E8"/>
    <w:rsid w:val="00F44987"/>
    <w:rsid w:val="00F44E96"/>
    <w:rsid w:val="00F4506C"/>
    <w:rsid w:val="00F451B5"/>
    <w:rsid w:val="00F452D8"/>
    <w:rsid w:val="00F45A9A"/>
    <w:rsid w:val="00F45DF6"/>
    <w:rsid w:val="00F45E9E"/>
    <w:rsid w:val="00F45FD1"/>
    <w:rsid w:val="00F46D0E"/>
    <w:rsid w:val="00F4705B"/>
    <w:rsid w:val="00F50723"/>
    <w:rsid w:val="00F50DC9"/>
    <w:rsid w:val="00F5138E"/>
    <w:rsid w:val="00F519EF"/>
    <w:rsid w:val="00F5341B"/>
    <w:rsid w:val="00F534F5"/>
    <w:rsid w:val="00F54FFD"/>
    <w:rsid w:val="00F5503A"/>
    <w:rsid w:val="00F55CB2"/>
    <w:rsid w:val="00F55D65"/>
    <w:rsid w:val="00F564D3"/>
    <w:rsid w:val="00F57C76"/>
    <w:rsid w:val="00F60303"/>
    <w:rsid w:val="00F608CF"/>
    <w:rsid w:val="00F616FD"/>
    <w:rsid w:val="00F61825"/>
    <w:rsid w:val="00F624AC"/>
    <w:rsid w:val="00F62691"/>
    <w:rsid w:val="00F627FC"/>
    <w:rsid w:val="00F63050"/>
    <w:rsid w:val="00F632BB"/>
    <w:rsid w:val="00F634B0"/>
    <w:rsid w:val="00F649C9"/>
    <w:rsid w:val="00F65A22"/>
    <w:rsid w:val="00F66189"/>
    <w:rsid w:val="00F66251"/>
    <w:rsid w:val="00F67CD2"/>
    <w:rsid w:val="00F706F7"/>
    <w:rsid w:val="00F70846"/>
    <w:rsid w:val="00F70D99"/>
    <w:rsid w:val="00F713D6"/>
    <w:rsid w:val="00F71659"/>
    <w:rsid w:val="00F71CBD"/>
    <w:rsid w:val="00F72706"/>
    <w:rsid w:val="00F72DEB"/>
    <w:rsid w:val="00F733EA"/>
    <w:rsid w:val="00F7396A"/>
    <w:rsid w:val="00F74036"/>
    <w:rsid w:val="00F75422"/>
    <w:rsid w:val="00F75A8D"/>
    <w:rsid w:val="00F76C12"/>
    <w:rsid w:val="00F76C29"/>
    <w:rsid w:val="00F771EA"/>
    <w:rsid w:val="00F77362"/>
    <w:rsid w:val="00F7798C"/>
    <w:rsid w:val="00F77C6B"/>
    <w:rsid w:val="00F805A4"/>
    <w:rsid w:val="00F8129B"/>
    <w:rsid w:val="00F8132F"/>
    <w:rsid w:val="00F8238E"/>
    <w:rsid w:val="00F82A7A"/>
    <w:rsid w:val="00F82B7D"/>
    <w:rsid w:val="00F835BA"/>
    <w:rsid w:val="00F84108"/>
    <w:rsid w:val="00F846A7"/>
    <w:rsid w:val="00F849BD"/>
    <w:rsid w:val="00F84EB6"/>
    <w:rsid w:val="00F85C21"/>
    <w:rsid w:val="00F85E27"/>
    <w:rsid w:val="00F863B2"/>
    <w:rsid w:val="00F866B1"/>
    <w:rsid w:val="00F878CA"/>
    <w:rsid w:val="00F9003D"/>
    <w:rsid w:val="00F916BC"/>
    <w:rsid w:val="00F918E2"/>
    <w:rsid w:val="00F91D75"/>
    <w:rsid w:val="00F9235E"/>
    <w:rsid w:val="00F930F0"/>
    <w:rsid w:val="00F9354D"/>
    <w:rsid w:val="00F940AD"/>
    <w:rsid w:val="00F9475D"/>
    <w:rsid w:val="00F94AEE"/>
    <w:rsid w:val="00F9530B"/>
    <w:rsid w:val="00F95790"/>
    <w:rsid w:val="00F958E5"/>
    <w:rsid w:val="00F95BF5"/>
    <w:rsid w:val="00F96081"/>
    <w:rsid w:val="00F961A0"/>
    <w:rsid w:val="00F962FD"/>
    <w:rsid w:val="00F96F5E"/>
    <w:rsid w:val="00F97155"/>
    <w:rsid w:val="00F97ACD"/>
    <w:rsid w:val="00FA05B9"/>
    <w:rsid w:val="00FA0EDF"/>
    <w:rsid w:val="00FA0FBA"/>
    <w:rsid w:val="00FA10AF"/>
    <w:rsid w:val="00FA17FE"/>
    <w:rsid w:val="00FA1BA2"/>
    <w:rsid w:val="00FA1E8F"/>
    <w:rsid w:val="00FA2D88"/>
    <w:rsid w:val="00FA30F9"/>
    <w:rsid w:val="00FA3139"/>
    <w:rsid w:val="00FA36BC"/>
    <w:rsid w:val="00FA49B5"/>
    <w:rsid w:val="00FA4AF9"/>
    <w:rsid w:val="00FA4B3F"/>
    <w:rsid w:val="00FA5B1E"/>
    <w:rsid w:val="00FA5BC5"/>
    <w:rsid w:val="00FA5BD3"/>
    <w:rsid w:val="00FA6621"/>
    <w:rsid w:val="00FA7294"/>
    <w:rsid w:val="00FA72AB"/>
    <w:rsid w:val="00FA738E"/>
    <w:rsid w:val="00FA73EE"/>
    <w:rsid w:val="00FA7E25"/>
    <w:rsid w:val="00FA7E78"/>
    <w:rsid w:val="00FB0558"/>
    <w:rsid w:val="00FB0E11"/>
    <w:rsid w:val="00FB0ECC"/>
    <w:rsid w:val="00FB152B"/>
    <w:rsid w:val="00FB1A76"/>
    <w:rsid w:val="00FB25D5"/>
    <w:rsid w:val="00FB27F4"/>
    <w:rsid w:val="00FB2F40"/>
    <w:rsid w:val="00FB2F52"/>
    <w:rsid w:val="00FB306C"/>
    <w:rsid w:val="00FB3A9D"/>
    <w:rsid w:val="00FB52A8"/>
    <w:rsid w:val="00FB5839"/>
    <w:rsid w:val="00FB6141"/>
    <w:rsid w:val="00FB6431"/>
    <w:rsid w:val="00FB6760"/>
    <w:rsid w:val="00FB6869"/>
    <w:rsid w:val="00FB68A4"/>
    <w:rsid w:val="00FB6EBA"/>
    <w:rsid w:val="00FB7E8B"/>
    <w:rsid w:val="00FC0A95"/>
    <w:rsid w:val="00FC184A"/>
    <w:rsid w:val="00FC20B8"/>
    <w:rsid w:val="00FC3185"/>
    <w:rsid w:val="00FC3A00"/>
    <w:rsid w:val="00FC57B0"/>
    <w:rsid w:val="00FC5C8A"/>
    <w:rsid w:val="00FC5F71"/>
    <w:rsid w:val="00FC646A"/>
    <w:rsid w:val="00FC69C5"/>
    <w:rsid w:val="00FC6D1F"/>
    <w:rsid w:val="00FC784D"/>
    <w:rsid w:val="00FC7F64"/>
    <w:rsid w:val="00FD0C7D"/>
    <w:rsid w:val="00FD0FA7"/>
    <w:rsid w:val="00FD1301"/>
    <w:rsid w:val="00FD2211"/>
    <w:rsid w:val="00FD30FB"/>
    <w:rsid w:val="00FD32D7"/>
    <w:rsid w:val="00FD38A3"/>
    <w:rsid w:val="00FD42DB"/>
    <w:rsid w:val="00FD56E8"/>
    <w:rsid w:val="00FD5954"/>
    <w:rsid w:val="00FD5AA9"/>
    <w:rsid w:val="00FD5BA0"/>
    <w:rsid w:val="00FD628C"/>
    <w:rsid w:val="00FD62E9"/>
    <w:rsid w:val="00FD69DF"/>
    <w:rsid w:val="00FD6AB0"/>
    <w:rsid w:val="00FD6DCC"/>
    <w:rsid w:val="00FD6FD9"/>
    <w:rsid w:val="00FD7542"/>
    <w:rsid w:val="00FE0832"/>
    <w:rsid w:val="00FE0916"/>
    <w:rsid w:val="00FE0EA9"/>
    <w:rsid w:val="00FE114B"/>
    <w:rsid w:val="00FE13DA"/>
    <w:rsid w:val="00FE19FB"/>
    <w:rsid w:val="00FE2FC9"/>
    <w:rsid w:val="00FE358B"/>
    <w:rsid w:val="00FE532D"/>
    <w:rsid w:val="00FE5C51"/>
    <w:rsid w:val="00FE5F89"/>
    <w:rsid w:val="00FE6748"/>
    <w:rsid w:val="00FE6B5E"/>
    <w:rsid w:val="00FE7047"/>
    <w:rsid w:val="00FE73DD"/>
    <w:rsid w:val="00FE7643"/>
    <w:rsid w:val="00FE7B56"/>
    <w:rsid w:val="00FE7C78"/>
    <w:rsid w:val="00FF063F"/>
    <w:rsid w:val="00FF194A"/>
    <w:rsid w:val="00FF19A9"/>
    <w:rsid w:val="00FF1C8B"/>
    <w:rsid w:val="00FF223E"/>
    <w:rsid w:val="00FF290F"/>
    <w:rsid w:val="00FF2BD0"/>
    <w:rsid w:val="00FF3600"/>
    <w:rsid w:val="00FF37D5"/>
    <w:rsid w:val="00FF3844"/>
    <w:rsid w:val="00FF4D40"/>
    <w:rsid w:val="00FF53C9"/>
    <w:rsid w:val="00FF5C45"/>
    <w:rsid w:val="00FF5E6D"/>
    <w:rsid w:val="00FF6583"/>
    <w:rsid w:val="00FF675D"/>
    <w:rsid w:val="00FF7C31"/>
    <w:rsid w:val="020643EA"/>
    <w:rsid w:val="02EE4CF2"/>
    <w:rsid w:val="03AD329C"/>
    <w:rsid w:val="03DCF2A5"/>
    <w:rsid w:val="043EDB2F"/>
    <w:rsid w:val="04BB6DB6"/>
    <w:rsid w:val="04C91E8A"/>
    <w:rsid w:val="05974838"/>
    <w:rsid w:val="06B73E64"/>
    <w:rsid w:val="07A571B1"/>
    <w:rsid w:val="07D26F33"/>
    <w:rsid w:val="07D91B0E"/>
    <w:rsid w:val="08911548"/>
    <w:rsid w:val="0A3AF952"/>
    <w:rsid w:val="0A6E6636"/>
    <w:rsid w:val="0B21A4BB"/>
    <w:rsid w:val="0BB3D59C"/>
    <w:rsid w:val="0BE017FF"/>
    <w:rsid w:val="0C9E5872"/>
    <w:rsid w:val="0D89FC09"/>
    <w:rsid w:val="0F636D4B"/>
    <w:rsid w:val="10371775"/>
    <w:rsid w:val="108D2DD3"/>
    <w:rsid w:val="127C08CC"/>
    <w:rsid w:val="12FC5F1F"/>
    <w:rsid w:val="13EF434C"/>
    <w:rsid w:val="149DF5FE"/>
    <w:rsid w:val="157B9758"/>
    <w:rsid w:val="1642B811"/>
    <w:rsid w:val="1663E391"/>
    <w:rsid w:val="17E041CB"/>
    <w:rsid w:val="1886BBA2"/>
    <w:rsid w:val="18CB7FC0"/>
    <w:rsid w:val="19406989"/>
    <w:rsid w:val="19B6F086"/>
    <w:rsid w:val="1A2BDA4F"/>
    <w:rsid w:val="1A489919"/>
    <w:rsid w:val="1AE4F43C"/>
    <w:rsid w:val="1B5C0F33"/>
    <w:rsid w:val="1B78CDFD"/>
    <w:rsid w:val="1DAF2F9B"/>
    <w:rsid w:val="1E6E0881"/>
    <w:rsid w:val="1FB636D2"/>
    <w:rsid w:val="21601ADC"/>
    <w:rsid w:val="2162DD63"/>
    <w:rsid w:val="228975C2"/>
    <w:rsid w:val="228DD747"/>
    <w:rsid w:val="2321F853"/>
    <w:rsid w:val="23C3ACCD"/>
    <w:rsid w:val="240FF8CF"/>
    <w:rsid w:val="243A33CA"/>
    <w:rsid w:val="25409355"/>
    <w:rsid w:val="255859F1"/>
    <w:rsid w:val="26140AAE"/>
    <w:rsid w:val="2696EBBD"/>
    <w:rsid w:val="26DAD01F"/>
    <w:rsid w:val="26FF48A3"/>
    <w:rsid w:val="281DC5F8"/>
    <w:rsid w:val="2832A5B0"/>
    <w:rsid w:val="2855A10B"/>
    <w:rsid w:val="2902DC19"/>
    <w:rsid w:val="297AD401"/>
    <w:rsid w:val="2A5140B2"/>
    <w:rsid w:val="2AF787B8"/>
    <w:rsid w:val="2AF7ED5A"/>
    <w:rsid w:val="2B24B80B"/>
    <w:rsid w:val="2D8D0F59"/>
    <w:rsid w:val="2ED83302"/>
    <w:rsid w:val="2F9C1C9A"/>
    <w:rsid w:val="31B27EC1"/>
    <w:rsid w:val="335C62CB"/>
    <w:rsid w:val="33892D7C"/>
    <w:rsid w:val="33DAA0E6"/>
    <w:rsid w:val="3401C420"/>
    <w:rsid w:val="352F0748"/>
    <w:rsid w:val="35FE896C"/>
    <w:rsid w:val="36933944"/>
    <w:rsid w:val="36E65A4A"/>
    <w:rsid w:val="36FAE7C3"/>
    <w:rsid w:val="3839F4E7"/>
    <w:rsid w:val="385516BB"/>
    <w:rsid w:val="38CEC5E1"/>
    <w:rsid w:val="39707A5B"/>
    <w:rsid w:val="3AB8A8AC"/>
    <w:rsid w:val="3BBC12DF"/>
    <w:rsid w:val="3C72FE3F"/>
    <w:rsid w:val="3C8F8A38"/>
    <w:rsid w:val="3C927F90"/>
    <w:rsid w:val="3D38C696"/>
    <w:rsid w:val="3F7734D5"/>
    <w:rsid w:val="3FE647A4"/>
    <w:rsid w:val="40131255"/>
    <w:rsid w:val="41ECE939"/>
    <w:rsid w:val="4249D995"/>
    <w:rsid w:val="43084CD9"/>
    <w:rsid w:val="43CA3A27"/>
    <w:rsid w:val="4406166A"/>
    <w:rsid w:val="44B230E3"/>
    <w:rsid w:val="44B4F36A"/>
    <w:rsid w:val="44E1F0EC"/>
    <w:rsid w:val="46F828C5"/>
    <w:rsid w:val="4715C2D4"/>
    <w:rsid w:val="47196FAF"/>
    <w:rsid w:val="472A9418"/>
    <w:rsid w:val="47AE5F51"/>
    <w:rsid w:val="47CEDCC1"/>
    <w:rsid w:val="4823CA4E"/>
    <w:rsid w:val="4880A8B5"/>
    <w:rsid w:val="48967EC7"/>
    <w:rsid w:val="48AA6FF8"/>
    <w:rsid w:val="4AF31324"/>
    <w:rsid w:val="4B3FF799"/>
    <w:rsid w:val="4C8825EA"/>
    <w:rsid w:val="4DC6C734"/>
    <w:rsid w:val="4E4A0361"/>
    <w:rsid w:val="4E76CE12"/>
    <w:rsid w:val="4EF07D38"/>
    <w:rsid w:val="4F520020"/>
    <w:rsid w:val="5020B21C"/>
    <w:rsid w:val="51C5D0C9"/>
    <w:rsid w:val="51FA8900"/>
    <w:rsid w:val="5284440D"/>
    <w:rsid w:val="529C3D7A"/>
    <w:rsid w:val="5312C477"/>
    <w:rsid w:val="53428480"/>
    <w:rsid w:val="54D28F68"/>
    <w:rsid w:val="5590ED66"/>
    <w:rsid w:val="5679C09B"/>
    <w:rsid w:val="57B85267"/>
    <w:rsid w:val="57C9DC72"/>
    <w:rsid w:val="5911D7F2"/>
    <w:rsid w:val="5A45EC82"/>
    <w:rsid w:val="5B0EB3D9"/>
    <w:rsid w:val="5B196777"/>
    <w:rsid w:val="5BEF1909"/>
    <w:rsid w:val="5C31A2EE"/>
    <w:rsid w:val="5CC29062"/>
    <w:rsid w:val="5D1F80BE"/>
    <w:rsid w:val="5EFD047D"/>
    <w:rsid w:val="5F0E28E6"/>
    <w:rsid w:val="605B1C94"/>
    <w:rsid w:val="608ADC9D"/>
    <w:rsid w:val="6188D8FF"/>
    <w:rsid w:val="61B174FC"/>
    <w:rsid w:val="62003B41"/>
    <w:rsid w:val="62864E16"/>
    <w:rsid w:val="6365285C"/>
    <w:rsid w:val="64239BA0"/>
    <w:rsid w:val="653EFF40"/>
    <w:rsid w:val="659BEF9C"/>
    <w:rsid w:val="6690D255"/>
    <w:rsid w:val="6979FB0B"/>
    <w:rsid w:val="69C62461"/>
    <w:rsid w:val="6A37E601"/>
    <w:rsid w:val="6C148C4C"/>
    <w:rsid w:val="6CB836BC"/>
    <w:rsid w:val="6CE5016D"/>
    <w:rsid w:val="6CFCFADA"/>
    <w:rsid w:val="6E920DA0"/>
    <w:rsid w:val="6EA6DEE4"/>
    <w:rsid w:val="6FAA4917"/>
    <w:rsid w:val="6FD5FD50"/>
    <w:rsid w:val="71C1E483"/>
    <w:rsid w:val="727E8617"/>
    <w:rsid w:val="73293EA8"/>
    <w:rsid w:val="73FC8330"/>
    <w:rsid w:val="749DB7B2"/>
    <w:rsid w:val="74F8657F"/>
    <w:rsid w:val="757969B8"/>
    <w:rsid w:val="76560200"/>
    <w:rsid w:val="76D9C447"/>
    <w:rsid w:val="77604A67"/>
    <w:rsid w:val="783EB162"/>
    <w:rsid w:val="78EE8FF3"/>
    <w:rsid w:val="798ECD39"/>
    <w:rsid w:val="7A5D1993"/>
    <w:rsid w:val="7AAC5F66"/>
    <w:rsid w:val="7B1BF279"/>
    <w:rsid w:val="7B48BD2A"/>
    <w:rsid w:val="7BEA662A"/>
    <w:rsid w:val="7C342DF0"/>
    <w:rsid w:val="7D22940E"/>
    <w:rsid w:val="7D7E4A9D"/>
    <w:rsid w:val="7ECC7818"/>
    <w:rsid w:val="7F412F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10F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30F7"/>
  </w:style>
  <w:style w:type="paragraph" w:styleId="Heading1">
    <w:name w:val="heading 1"/>
    <w:basedOn w:val="Normal"/>
    <w:next w:val="Normal"/>
    <w:link w:val="Heading1Char"/>
    <w:uiPriority w:val="9"/>
    <w:qFormat/>
    <w:rsid w:val="0023266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17E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46D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C95"/>
    <w:pPr>
      <w:ind w:left="720"/>
      <w:contextualSpacing/>
    </w:pPr>
  </w:style>
  <w:style w:type="paragraph" w:styleId="Revision">
    <w:name w:val="Revision"/>
    <w:hidden/>
    <w:uiPriority w:val="99"/>
    <w:semiHidden/>
    <w:rsid w:val="00544062"/>
    <w:pPr>
      <w:spacing w:after="0" w:line="240" w:lineRule="auto"/>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Header">
    <w:name w:val="header"/>
    <w:basedOn w:val="Normal"/>
    <w:link w:val="HeaderChar"/>
    <w:uiPriority w:val="99"/>
    <w:unhideWhenUsed/>
    <w:rsid w:val="00986BCB"/>
    <w:pPr>
      <w:tabs>
        <w:tab w:val="center" w:pos="4419"/>
        <w:tab w:val="right" w:pos="8838"/>
      </w:tabs>
      <w:spacing w:after="0" w:line="240" w:lineRule="auto"/>
    </w:pPr>
  </w:style>
  <w:style w:type="character" w:customStyle="1" w:styleId="HeaderChar">
    <w:name w:val="Header Char"/>
    <w:basedOn w:val="DefaultParagraphFont"/>
    <w:link w:val="Header"/>
    <w:uiPriority w:val="99"/>
    <w:rsid w:val="00986BCB"/>
  </w:style>
  <w:style w:type="paragraph" w:styleId="Footer">
    <w:name w:val="footer"/>
    <w:basedOn w:val="Normal"/>
    <w:link w:val="FooterChar"/>
    <w:uiPriority w:val="99"/>
    <w:unhideWhenUsed/>
    <w:rsid w:val="00986BCB"/>
    <w:pPr>
      <w:tabs>
        <w:tab w:val="center" w:pos="4419"/>
        <w:tab w:val="right" w:pos="8838"/>
      </w:tabs>
      <w:spacing w:after="0" w:line="240" w:lineRule="auto"/>
    </w:pPr>
  </w:style>
  <w:style w:type="character" w:customStyle="1" w:styleId="FooterChar">
    <w:name w:val="Footer Char"/>
    <w:basedOn w:val="DefaultParagraphFont"/>
    <w:link w:val="Footer"/>
    <w:uiPriority w:val="99"/>
    <w:rsid w:val="00986BCB"/>
  </w:style>
  <w:style w:type="character" w:styleId="UnresolvedMention">
    <w:name w:val="Unresolved Mention"/>
    <w:basedOn w:val="DefaultParagraphFont"/>
    <w:uiPriority w:val="99"/>
    <w:semiHidden/>
    <w:unhideWhenUsed/>
    <w:rsid w:val="001333D9"/>
    <w:rPr>
      <w:color w:val="605E5C"/>
      <w:shd w:val="clear" w:color="auto" w:fill="E1DFDD"/>
    </w:rPr>
  </w:style>
  <w:style w:type="character" w:styleId="Emphasis">
    <w:name w:val="Emphasis"/>
    <w:basedOn w:val="DefaultParagraphFont"/>
    <w:uiPriority w:val="20"/>
    <w:qFormat/>
    <w:rsid w:val="00BA164C"/>
    <w:rPr>
      <w:i/>
      <w:iCs/>
    </w:rPr>
  </w:style>
  <w:style w:type="paragraph" w:styleId="CommentText">
    <w:name w:val="annotation text"/>
    <w:basedOn w:val="Normal"/>
    <w:link w:val="CommentTextChar"/>
    <w:uiPriority w:val="99"/>
    <w:unhideWhenUsed/>
    <w:rsid w:val="00EE350B"/>
    <w:pPr>
      <w:spacing w:line="240" w:lineRule="auto"/>
    </w:pPr>
    <w:rPr>
      <w:sz w:val="20"/>
      <w:szCs w:val="20"/>
    </w:rPr>
  </w:style>
  <w:style w:type="character" w:customStyle="1" w:styleId="CommentTextChar">
    <w:name w:val="Comment Text Char"/>
    <w:basedOn w:val="DefaultParagraphFont"/>
    <w:link w:val="CommentText"/>
    <w:uiPriority w:val="99"/>
    <w:rsid w:val="00EE350B"/>
    <w:rPr>
      <w:sz w:val="20"/>
      <w:szCs w:val="20"/>
    </w:rPr>
  </w:style>
  <w:style w:type="character" w:styleId="CommentReference">
    <w:name w:val="annotation reference"/>
    <w:basedOn w:val="DefaultParagraphFont"/>
    <w:uiPriority w:val="99"/>
    <w:semiHidden/>
    <w:unhideWhenUsed/>
    <w:rsid w:val="00EE350B"/>
    <w:rPr>
      <w:sz w:val="16"/>
      <w:szCs w:val="16"/>
    </w:rPr>
  </w:style>
  <w:style w:type="paragraph" w:styleId="HTMLPreformatted">
    <w:name w:val="HTML Preformatted"/>
    <w:basedOn w:val="Normal"/>
    <w:link w:val="HTMLPreformattedChar"/>
    <w:uiPriority w:val="99"/>
    <w:unhideWhenUsed/>
    <w:rsid w:val="00C73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73CBE"/>
    <w:rPr>
      <w:rFonts w:ascii="Courier New" w:eastAsia="Times New Roman" w:hAnsi="Courier New" w:cs="Courier New"/>
      <w:sz w:val="20"/>
      <w:szCs w:val="20"/>
    </w:rPr>
  </w:style>
  <w:style w:type="character" w:customStyle="1" w:styleId="y2iqfc">
    <w:name w:val="y2iqfc"/>
    <w:basedOn w:val="DefaultParagraphFont"/>
    <w:rsid w:val="00C73CBE"/>
  </w:style>
  <w:style w:type="character" w:customStyle="1" w:styleId="Heading1Char">
    <w:name w:val="Heading 1 Char"/>
    <w:basedOn w:val="DefaultParagraphFont"/>
    <w:link w:val="Heading1"/>
    <w:uiPriority w:val="9"/>
    <w:rsid w:val="002326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17E1"/>
    <w:rPr>
      <w:rFonts w:asciiTheme="majorHAnsi" w:eastAsiaTheme="majorEastAsia" w:hAnsiTheme="majorHAnsi" w:cstheme="majorBidi"/>
      <w:color w:val="2F5496" w:themeColor="accent1" w:themeShade="BF"/>
      <w:sz w:val="26"/>
      <w:szCs w:val="26"/>
    </w:rPr>
  </w:style>
  <w:style w:type="paragraph" w:styleId="Title">
    <w:name w:val="Title"/>
    <w:basedOn w:val="Normal"/>
    <w:next w:val="Normal"/>
    <w:link w:val="TitleChar"/>
    <w:uiPriority w:val="10"/>
    <w:qFormat/>
    <w:rsid w:val="002E206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2067"/>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B46DB8"/>
    <w:rPr>
      <w:rFonts w:asciiTheme="majorHAnsi" w:eastAsiaTheme="majorEastAsia" w:hAnsiTheme="majorHAnsi" w:cstheme="majorBidi"/>
      <w:color w:val="1F3763" w:themeColor="accent1" w:themeShade="7F"/>
      <w:sz w:val="24"/>
      <w:szCs w:val="24"/>
    </w:rPr>
  </w:style>
  <w:style w:type="paragraph" w:styleId="CommentSubject">
    <w:name w:val="annotation subject"/>
    <w:basedOn w:val="CommentText"/>
    <w:next w:val="CommentText"/>
    <w:link w:val="CommentSubjectChar"/>
    <w:uiPriority w:val="99"/>
    <w:semiHidden/>
    <w:unhideWhenUsed/>
    <w:rsid w:val="001304F6"/>
    <w:rPr>
      <w:b/>
      <w:bCs/>
    </w:rPr>
  </w:style>
  <w:style w:type="character" w:customStyle="1" w:styleId="CommentSubjectChar">
    <w:name w:val="Comment Subject Char"/>
    <w:basedOn w:val="CommentTextChar"/>
    <w:link w:val="CommentSubject"/>
    <w:uiPriority w:val="99"/>
    <w:semiHidden/>
    <w:rsid w:val="001304F6"/>
    <w:rPr>
      <w:b/>
      <w:bCs/>
      <w:sz w:val="20"/>
      <w:szCs w:val="20"/>
    </w:rPr>
  </w:style>
  <w:style w:type="paragraph" w:styleId="EndnoteText">
    <w:name w:val="endnote text"/>
    <w:basedOn w:val="Normal"/>
    <w:link w:val="EndnoteTextChar"/>
    <w:uiPriority w:val="99"/>
    <w:semiHidden/>
    <w:unhideWhenUsed/>
    <w:rsid w:val="007471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71D2"/>
    <w:rPr>
      <w:sz w:val="20"/>
      <w:szCs w:val="20"/>
    </w:rPr>
  </w:style>
  <w:style w:type="character" w:styleId="EndnoteReference">
    <w:name w:val="endnote reference"/>
    <w:basedOn w:val="DefaultParagraphFont"/>
    <w:uiPriority w:val="99"/>
    <w:semiHidden/>
    <w:unhideWhenUsed/>
    <w:rsid w:val="007471D2"/>
    <w:rPr>
      <w:vertAlign w:val="superscript"/>
    </w:rPr>
  </w:style>
  <w:style w:type="table" w:styleId="LightList-Accent3">
    <w:name w:val="Light List Accent 3"/>
    <w:basedOn w:val="TableNormal"/>
    <w:uiPriority w:val="61"/>
    <w:rsid w:val="007425C7"/>
    <w:pPr>
      <w:spacing w:after="0" w:line="240" w:lineRule="auto"/>
    </w:pPr>
    <w:rPr>
      <w:rFonts w:eastAsiaTheme="minorEastAsi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customStyle="1" w:styleId="normaltextrun">
    <w:name w:val="normaltextrun"/>
    <w:basedOn w:val="DefaultParagraphFont"/>
    <w:rsid w:val="00383952"/>
  </w:style>
  <w:style w:type="character" w:customStyle="1" w:styleId="cf01">
    <w:name w:val="cf01"/>
    <w:basedOn w:val="DefaultParagraphFont"/>
    <w:rsid w:val="00C82AC3"/>
    <w:rPr>
      <w:rFonts w:ascii="Segoe UI" w:hAnsi="Segoe UI" w:cs="Segoe UI" w:hint="default"/>
      <w:sz w:val="18"/>
      <w:szCs w:val="18"/>
    </w:rPr>
  </w:style>
  <w:style w:type="character" w:customStyle="1" w:styleId="reference-accessdate">
    <w:name w:val="reference-accessdate"/>
    <w:basedOn w:val="DefaultParagraphFont"/>
    <w:rsid w:val="000A4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21346">
      <w:bodyDiv w:val="1"/>
      <w:marLeft w:val="0"/>
      <w:marRight w:val="0"/>
      <w:marTop w:val="0"/>
      <w:marBottom w:val="0"/>
      <w:divBdr>
        <w:top w:val="none" w:sz="0" w:space="0" w:color="auto"/>
        <w:left w:val="none" w:sz="0" w:space="0" w:color="auto"/>
        <w:bottom w:val="none" w:sz="0" w:space="0" w:color="auto"/>
        <w:right w:val="none" w:sz="0" w:space="0" w:color="auto"/>
      </w:divBdr>
    </w:div>
    <w:div w:id="358749177">
      <w:bodyDiv w:val="1"/>
      <w:marLeft w:val="0"/>
      <w:marRight w:val="0"/>
      <w:marTop w:val="0"/>
      <w:marBottom w:val="0"/>
      <w:divBdr>
        <w:top w:val="none" w:sz="0" w:space="0" w:color="auto"/>
        <w:left w:val="none" w:sz="0" w:space="0" w:color="auto"/>
        <w:bottom w:val="none" w:sz="0" w:space="0" w:color="auto"/>
        <w:right w:val="none" w:sz="0" w:space="0" w:color="auto"/>
      </w:divBdr>
    </w:div>
    <w:div w:id="423846733">
      <w:bodyDiv w:val="1"/>
      <w:marLeft w:val="0"/>
      <w:marRight w:val="0"/>
      <w:marTop w:val="0"/>
      <w:marBottom w:val="0"/>
      <w:divBdr>
        <w:top w:val="none" w:sz="0" w:space="0" w:color="auto"/>
        <w:left w:val="none" w:sz="0" w:space="0" w:color="auto"/>
        <w:bottom w:val="none" w:sz="0" w:space="0" w:color="auto"/>
        <w:right w:val="none" w:sz="0" w:space="0" w:color="auto"/>
      </w:divBdr>
    </w:div>
    <w:div w:id="424808637">
      <w:bodyDiv w:val="1"/>
      <w:marLeft w:val="0"/>
      <w:marRight w:val="0"/>
      <w:marTop w:val="0"/>
      <w:marBottom w:val="0"/>
      <w:divBdr>
        <w:top w:val="none" w:sz="0" w:space="0" w:color="auto"/>
        <w:left w:val="none" w:sz="0" w:space="0" w:color="auto"/>
        <w:bottom w:val="none" w:sz="0" w:space="0" w:color="auto"/>
        <w:right w:val="none" w:sz="0" w:space="0" w:color="auto"/>
      </w:divBdr>
    </w:div>
    <w:div w:id="525601029">
      <w:bodyDiv w:val="1"/>
      <w:marLeft w:val="0"/>
      <w:marRight w:val="0"/>
      <w:marTop w:val="0"/>
      <w:marBottom w:val="0"/>
      <w:divBdr>
        <w:top w:val="none" w:sz="0" w:space="0" w:color="auto"/>
        <w:left w:val="none" w:sz="0" w:space="0" w:color="auto"/>
        <w:bottom w:val="none" w:sz="0" w:space="0" w:color="auto"/>
        <w:right w:val="none" w:sz="0" w:space="0" w:color="auto"/>
      </w:divBdr>
    </w:div>
    <w:div w:id="537593512">
      <w:bodyDiv w:val="1"/>
      <w:marLeft w:val="0"/>
      <w:marRight w:val="0"/>
      <w:marTop w:val="0"/>
      <w:marBottom w:val="0"/>
      <w:divBdr>
        <w:top w:val="none" w:sz="0" w:space="0" w:color="auto"/>
        <w:left w:val="none" w:sz="0" w:space="0" w:color="auto"/>
        <w:bottom w:val="none" w:sz="0" w:space="0" w:color="auto"/>
        <w:right w:val="none" w:sz="0" w:space="0" w:color="auto"/>
      </w:divBdr>
    </w:div>
    <w:div w:id="761023252">
      <w:bodyDiv w:val="1"/>
      <w:marLeft w:val="0"/>
      <w:marRight w:val="0"/>
      <w:marTop w:val="0"/>
      <w:marBottom w:val="0"/>
      <w:divBdr>
        <w:top w:val="none" w:sz="0" w:space="0" w:color="auto"/>
        <w:left w:val="none" w:sz="0" w:space="0" w:color="auto"/>
        <w:bottom w:val="none" w:sz="0" w:space="0" w:color="auto"/>
        <w:right w:val="none" w:sz="0" w:space="0" w:color="auto"/>
      </w:divBdr>
    </w:div>
    <w:div w:id="1039162667">
      <w:bodyDiv w:val="1"/>
      <w:marLeft w:val="0"/>
      <w:marRight w:val="0"/>
      <w:marTop w:val="0"/>
      <w:marBottom w:val="0"/>
      <w:divBdr>
        <w:top w:val="none" w:sz="0" w:space="0" w:color="auto"/>
        <w:left w:val="none" w:sz="0" w:space="0" w:color="auto"/>
        <w:bottom w:val="none" w:sz="0" w:space="0" w:color="auto"/>
        <w:right w:val="none" w:sz="0" w:space="0" w:color="auto"/>
      </w:divBdr>
    </w:div>
    <w:div w:id="1043600879">
      <w:bodyDiv w:val="1"/>
      <w:marLeft w:val="0"/>
      <w:marRight w:val="0"/>
      <w:marTop w:val="0"/>
      <w:marBottom w:val="0"/>
      <w:divBdr>
        <w:top w:val="none" w:sz="0" w:space="0" w:color="auto"/>
        <w:left w:val="none" w:sz="0" w:space="0" w:color="auto"/>
        <w:bottom w:val="none" w:sz="0" w:space="0" w:color="auto"/>
        <w:right w:val="none" w:sz="0" w:space="0" w:color="auto"/>
      </w:divBdr>
    </w:div>
    <w:div w:id="1102261466">
      <w:bodyDiv w:val="1"/>
      <w:marLeft w:val="0"/>
      <w:marRight w:val="0"/>
      <w:marTop w:val="0"/>
      <w:marBottom w:val="0"/>
      <w:divBdr>
        <w:top w:val="none" w:sz="0" w:space="0" w:color="auto"/>
        <w:left w:val="none" w:sz="0" w:space="0" w:color="auto"/>
        <w:bottom w:val="none" w:sz="0" w:space="0" w:color="auto"/>
        <w:right w:val="none" w:sz="0" w:space="0" w:color="auto"/>
      </w:divBdr>
    </w:div>
    <w:div w:id="1360356080">
      <w:bodyDiv w:val="1"/>
      <w:marLeft w:val="0"/>
      <w:marRight w:val="0"/>
      <w:marTop w:val="0"/>
      <w:marBottom w:val="0"/>
      <w:divBdr>
        <w:top w:val="none" w:sz="0" w:space="0" w:color="auto"/>
        <w:left w:val="none" w:sz="0" w:space="0" w:color="auto"/>
        <w:bottom w:val="none" w:sz="0" w:space="0" w:color="auto"/>
        <w:right w:val="none" w:sz="0" w:space="0" w:color="auto"/>
      </w:divBdr>
    </w:div>
    <w:div w:id="1573463580">
      <w:bodyDiv w:val="1"/>
      <w:marLeft w:val="0"/>
      <w:marRight w:val="0"/>
      <w:marTop w:val="0"/>
      <w:marBottom w:val="0"/>
      <w:divBdr>
        <w:top w:val="none" w:sz="0" w:space="0" w:color="auto"/>
        <w:left w:val="none" w:sz="0" w:space="0" w:color="auto"/>
        <w:bottom w:val="none" w:sz="0" w:space="0" w:color="auto"/>
        <w:right w:val="none" w:sz="0" w:space="0" w:color="auto"/>
      </w:divBdr>
    </w:div>
    <w:div w:id="1595283752">
      <w:bodyDiv w:val="1"/>
      <w:marLeft w:val="0"/>
      <w:marRight w:val="0"/>
      <w:marTop w:val="0"/>
      <w:marBottom w:val="0"/>
      <w:divBdr>
        <w:top w:val="none" w:sz="0" w:space="0" w:color="auto"/>
        <w:left w:val="none" w:sz="0" w:space="0" w:color="auto"/>
        <w:bottom w:val="none" w:sz="0" w:space="0" w:color="auto"/>
        <w:right w:val="none" w:sz="0" w:space="0" w:color="auto"/>
      </w:divBdr>
    </w:div>
    <w:div w:id="1778021077">
      <w:bodyDiv w:val="1"/>
      <w:marLeft w:val="0"/>
      <w:marRight w:val="0"/>
      <w:marTop w:val="0"/>
      <w:marBottom w:val="0"/>
      <w:divBdr>
        <w:top w:val="none" w:sz="0" w:space="0" w:color="auto"/>
        <w:left w:val="none" w:sz="0" w:space="0" w:color="auto"/>
        <w:bottom w:val="none" w:sz="0" w:space="0" w:color="auto"/>
        <w:right w:val="none" w:sz="0" w:space="0" w:color="auto"/>
      </w:divBdr>
    </w:div>
    <w:div w:id="1790009659">
      <w:bodyDiv w:val="1"/>
      <w:marLeft w:val="0"/>
      <w:marRight w:val="0"/>
      <w:marTop w:val="0"/>
      <w:marBottom w:val="0"/>
      <w:divBdr>
        <w:top w:val="none" w:sz="0" w:space="0" w:color="auto"/>
        <w:left w:val="none" w:sz="0" w:space="0" w:color="auto"/>
        <w:bottom w:val="none" w:sz="0" w:space="0" w:color="auto"/>
        <w:right w:val="none" w:sz="0" w:space="0" w:color="auto"/>
      </w:divBdr>
    </w:div>
    <w:div w:id="1991978729">
      <w:bodyDiv w:val="1"/>
      <w:marLeft w:val="0"/>
      <w:marRight w:val="0"/>
      <w:marTop w:val="0"/>
      <w:marBottom w:val="0"/>
      <w:divBdr>
        <w:top w:val="none" w:sz="0" w:space="0" w:color="auto"/>
        <w:left w:val="none" w:sz="0" w:space="0" w:color="auto"/>
        <w:bottom w:val="none" w:sz="0" w:space="0" w:color="auto"/>
        <w:right w:val="none" w:sz="0" w:space="0" w:color="auto"/>
      </w:divBdr>
    </w:div>
    <w:div w:id="207122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acessoainformacao/pt-br"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bd.int/convention/" TargetMode="External"/><Relationship Id="rId5" Type="http://schemas.openxmlformats.org/officeDocument/2006/relationships/webSettings" Target="webSettings.xml"/><Relationship Id="rId15" Type="http://schemas.openxmlformats.org/officeDocument/2006/relationships/hyperlink" Target="https://14bisness-academy-en.thinkific.com/courses/The-official-ABS-data" TargetMode="External"/><Relationship Id="rId10" Type="http://schemas.openxmlformats.org/officeDocument/2006/relationships/hyperlink" Target="https://datasebraeindicadores.sebrae.com.br/resources/sites/data-sebrae/data-sebrae.html" TargetMode="External"/><Relationship Id="rId4" Type="http://schemas.openxmlformats.org/officeDocument/2006/relationships/settings" Target="settings.xml"/><Relationship Id="rId9" Type="http://schemas.openxmlformats.org/officeDocument/2006/relationships/hyperlink" Target="https://www.portaltransparencia.gov.br/" TargetMode="External"/><Relationship Id="rId14" Type="http://schemas.openxmlformats.org/officeDocument/2006/relationships/image" Target="media/image3.png"/></Relationships>
</file>

<file path=word/_rels/endnotes.xml.rels><?xml version="1.0" encoding="UTF-8" standalone="yes"?>
<Relationships xmlns="http://schemas.openxmlformats.org/package/2006/relationships"><Relationship Id="rId8" Type="http://schemas.openxmlformats.org/officeDocument/2006/relationships/hyperlink" Target="http://www.planalto.gov.br/ccivil_03/_ato2015-2018/2016/decreto/d8772.htm" TargetMode="External"/><Relationship Id="rId13" Type="http://schemas.openxmlformats.org/officeDocument/2006/relationships/hyperlink" Target="https://www.foreffectivegov.org/node/3470" TargetMode="External"/><Relationship Id="rId18" Type="http://schemas.openxmlformats.org/officeDocument/2006/relationships/hyperlink" Target="https://datasebraeindicadores.sebrae.com.br/resources/sites/data-sebrae/data-sebrae.html" TargetMode="External"/><Relationship Id="rId3" Type="http://schemas.openxmlformats.org/officeDocument/2006/relationships/hyperlink" Target="http://www.planalto.gov.br/ccivil_03/decreto/d2519.htm" TargetMode="External"/><Relationship Id="rId7" Type="http://schemas.openxmlformats.org/officeDocument/2006/relationships/hyperlink" Target="https://sisgen.gov.br/paginas/login.aspx" TargetMode="External"/><Relationship Id="rId12" Type="http://schemas.openxmlformats.org/officeDocument/2006/relationships/hyperlink" Target="https://online.hbs.edu/blog/post/cost-benefit-analysis" TargetMode="External"/><Relationship Id="rId17" Type="http://schemas.openxmlformats.org/officeDocument/2006/relationships/hyperlink" Target="https://www.bndes.gov.br/wps/portal/site/home" TargetMode="External"/><Relationship Id="rId2" Type="http://schemas.openxmlformats.org/officeDocument/2006/relationships/hyperlink" Target="https://www.cbd.int/Convention" TargetMode="External"/><Relationship Id="rId16" Type="http://schemas.openxmlformats.org/officeDocument/2006/relationships/hyperlink" Target="https://www.portaldaindustria.com.br/industria-de-a-z/micro-e-pequena-empresa/" TargetMode="External"/><Relationship Id="rId20" Type="http://schemas.openxmlformats.org/officeDocument/2006/relationships/hyperlink" Target="https://www2.camara.leg.br/atividade-legislativa/comissoes/comissoes-temporarias/especiais/54alegislatura/pl-2177-11-codigo-nacional-ciencia-e-tecnologia/audienciaspublicas/apresentacao-ibama-henrique-varejao" TargetMode="External"/><Relationship Id="rId1" Type="http://schemas.openxmlformats.org/officeDocument/2006/relationships/hyperlink" Target="https://www.un.org/en/conferences/environment/rio1992" TargetMode="External"/><Relationship Id="rId6" Type="http://schemas.openxmlformats.org/officeDocument/2006/relationships/hyperlink" Target="http://www.planalto.gov.br/CCIVIL_03/_Ato2015-2018/2015/Lei/L13123.htm" TargetMode="External"/><Relationship Id="rId11" Type="http://schemas.openxmlformats.org/officeDocument/2006/relationships/hyperlink" Target="https://www.cbd.int/convention/parties/contributions.shtml" TargetMode="External"/><Relationship Id="rId5" Type="http://schemas.openxmlformats.org/officeDocument/2006/relationships/hyperlink" Target="http://www.planalto.gov.br/ccivil_03/MPV/2186-16.htm" TargetMode="External"/><Relationship Id="rId15" Type="http://schemas.openxmlformats.org/officeDocument/2006/relationships/hyperlink" Target="https://www3.bcb.gov.br/CALCIDADAO/publico/exibirFormCorrecaoValores.do?method=exibirFormCorrecaoValores&amp;aba=1" TargetMode="External"/><Relationship Id="rId10" Type="http://schemas.openxmlformats.org/officeDocument/2006/relationships/hyperlink" Target="https://www.portaltransparencia.gov.br/" TargetMode="External"/><Relationship Id="rId19" Type="http://schemas.openxmlformats.org/officeDocument/2006/relationships/hyperlink" Target="http://www.planalto.gov.br/ccivil_03/_ato2004-2006/2005/decreto/D5459impressao.htm" TargetMode="External"/><Relationship Id="rId4" Type="http://schemas.openxmlformats.org/officeDocument/2006/relationships/hyperlink" Target="https://www.cbd.int/information/parties.shtml" TargetMode="External"/><Relationship Id="rId9" Type="http://schemas.openxmlformats.org/officeDocument/2006/relationships/hyperlink" Target="http://www.planalto.gov.br/ccivil_03/_ato2011-2014/2011/lei/l12527.htm" TargetMode="External"/><Relationship Id="rId14" Type="http://schemas.openxmlformats.org/officeDocument/2006/relationships/hyperlink" Target="https://portal.stf.jus.br/processos/detalhe.asp?incidente=4723934"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CA74A-9E33-4391-989D-E7D6AC32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7418</Words>
  <Characters>40061</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47385</CharactersWithSpaces>
  <SharedDoc>false</SharedDoc>
  <HLinks>
    <vt:vector size="162" baseType="variant">
      <vt:variant>
        <vt:i4>4587603</vt:i4>
      </vt:variant>
      <vt:variant>
        <vt:i4>15</vt:i4>
      </vt:variant>
      <vt:variant>
        <vt:i4>0</vt:i4>
      </vt:variant>
      <vt:variant>
        <vt:i4>5</vt:i4>
      </vt:variant>
      <vt:variant>
        <vt:lpwstr>https://14bisness-academy-en.thinkific.com/courses/The-official-ABS-data</vt:lpwstr>
      </vt:variant>
      <vt:variant>
        <vt:lpwstr/>
      </vt:variant>
      <vt:variant>
        <vt:i4>3473449</vt:i4>
      </vt:variant>
      <vt:variant>
        <vt:i4>12</vt:i4>
      </vt:variant>
      <vt:variant>
        <vt:i4>0</vt:i4>
      </vt:variant>
      <vt:variant>
        <vt:i4>5</vt:i4>
      </vt:variant>
      <vt:variant>
        <vt:lpwstr>https://www.cbd.int/convention/</vt:lpwstr>
      </vt:variant>
      <vt:variant>
        <vt:lpwstr/>
      </vt:variant>
      <vt:variant>
        <vt:i4>1572947</vt:i4>
      </vt:variant>
      <vt:variant>
        <vt:i4>9</vt:i4>
      </vt:variant>
      <vt:variant>
        <vt:i4>0</vt:i4>
      </vt:variant>
      <vt:variant>
        <vt:i4>5</vt:i4>
      </vt:variant>
      <vt:variant>
        <vt:lpwstr>https://datasebraeindicadores.sebrae.com.br/resources/sites/data-sebrae/data-sebrae.html</vt:lpwstr>
      </vt:variant>
      <vt:variant>
        <vt:lpwstr/>
      </vt:variant>
      <vt:variant>
        <vt:i4>3866672</vt:i4>
      </vt:variant>
      <vt:variant>
        <vt:i4>6</vt:i4>
      </vt:variant>
      <vt:variant>
        <vt:i4>0</vt:i4>
      </vt:variant>
      <vt:variant>
        <vt:i4>5</vt:i4>
      </vt:variant>
      <vt:variant>
        <vt:lpwstr>https://www.portaltransparencia.gov.br/</vt:lpwstr>
      </vt:variant>
      <vt:variant>
        <vt:lpwstr/>
      </vt:variant>
      <vt:variant>
        <vt:i4>2228263</vt:i4>
      </vt:variant>
      <vt:variant>
        <vt:i4>3</vt:i4>
      </vt:variant>
      <vt:variant>
        <vt:i4>0</vt:i4>
      </vt:variant>
      <vt:variant>
        <vt:i4>5</vt:i4>
      </vt:variant>
      <vt:variant>
        <vt:lpwstr>https://www.gov.br/acessoainformacao/pt-br</vt:lpwstr>
      </vt:variant>
      <vt:variant>
        <vt:lpwstr/>
      </vt:variant>
      <vt:variant>
        <vt:i4>4063244</vt:i4>
      </vt:variant>
      <vt:variant>
        <vt:i4>0</vt:i4>
      </vt:variant>
      <vt:variant>
        <vt:i4>0</vt:i4>
      </vt:variant>
      <vt:variant>
        <vt:i4>5</vt:i4>
      </vt:variant>
      <vt:variant>
        <vt:lpwstr>mailto:diana@14bisness.com</vt:lpwstr>
      </vt:variant>
      <vt:variant>
        <vt:lpwstr/>
      </vt:variant>
      <vt:variant>
        <vt:i4>6488166</vt:i4>
      </vt:variant>
      <vt:variant>
        <vt:i4>60</vt:i4>
      </vt:variant>
      <vt:variant>
        <vt:i4>0</vt:i4>
      </vt:variant>
      <vt:variant>
        <vt:i4>5</vt:i4>
      </vt:variant>
      <vt:variant>
        <vt:lpwstr>http://www.ecobrasil.eco.br/30-restrito/categoria-conceitos/976-comunidades-ou-populacoes-tradicionais</vt:lpwstr>
      </vt:variant>
      <vt:variant>
        <vt:lpwstr/>
      </vt:variant>
      <vt:variant>
        <vt:i4>589840</vt:i4>
      </vt:variant>
      <vt:variant>
        <vt:i4>57</vt:i4>
      </vt:variant>
      <vt:variant>
        <vt:i4>0</vt:i4>
      </vt:variant>
      <vt:variant>
        <vt:i4>5</vt:i4>
      </vt:variant>
      <vt:variant>
        <vt:lpwstr>https://datasebraeindicadores.sebrae.com.br/resources/sites/data-sebrae/data-sebrae.html</vt:lpwstr>
      </vt:variant>
      <vt:variant>
        <vt:lpwstr>/Empresas</vt:lpwstr>
      </vt:variant>
      <vt:variant>
        <vt:i4>6225945</vt:i4>
      </vt:variant>
      <vt:variant>
        <vt:i4>54</vt:i4>
      </vt:variant>
      <vt:variant>
        <vt:i4>0</vt:i4>
      </vt:variant>
      <vt:variant>
        <vt:i4>5</vt:i4>
      </vt:variant>
      <vt:variant>
        <vt:lpwstr>https://www2.camara.leg.br/atividade-legislativa/comissoes/comissoes-temporarias/especiais/54alegislatura/pl-2177-11-codigo-nacional-ciencia-e-tecnologia/audienciaspublicas/apresentacao-ibama-henrique-varejao</vt:lpwstr>
      </vt:variant>
      <vt:variant>
        <vt:lpwstr/>
      </vt:variant>
      <vt:variant>
        <vt:i4>3866746</vt:i4>
      </vt:variant>
      <vt:variant>
        <vt:i4>51</vt:i4>
      </vt:variant>
      <vt:variant>
        <vt:i4>0</vt:i4>
      </vt:variant>
      <vt:variant>
        <vt:i4>5</vt:i4>
      </vt:variant>
      <vt:variant>
        <vt:lpwstr>http://www.planalto.gov.br/ccivil_03/_ato2004-2006/2005/decreto/D5459impressao.htm</vt:lpwstr>
      </vt:variant>
      <vt:variant>
        <vt:lpwstr/>
      </vt:variant>
      <vt:variant>
        <vt:i4>2031622</vt:i4>
      </vt:variant>
      <vt:variant>
        <vt:i4>48</vt:i4>
      </vt:variant>
      <vt:variant>
        <vt:i4>0</vt:i4>
      </vt:variant>
      <vt:variant>
        <vt:i4>5</vt:i4>
      </vt:variant>
      <vt:variant>
        <vt:lpwstr>https://www.bndes.gov.br/wps/portal/site/home</vt:lpwstr>
      </vt:variant>
      <vt:variant>
        <vt:lpwstr/>
      </vt:variant>
      <vt:variant>
        <vt:i4>1966151</vt:i4>
      </vt:variant>
      <vt:variant>
        <vt:i4>45</vt:i4>
      </vt:variant>
      <vt:variant>
        <vt:i4>0</vt:i4>
      </vt:variant>
      <vt:variant>
        <vt:i4>5</vt:i4>
      </vt:variant>
      <vt:variant>
        <vt:lpwstr>https://www.portaldaindustria.com.br/industria-de-a-z/micro-e-pequena-empresa/</vt:lpwstr>
      </vt:variant>
      <vt:variant>
        <vt:lpwstr>:~:text=Pequena%20empresa%3A%20empresa%20que%20t%C3%AAm,a%2099%20pessoas%20na%20ind%C3%BAstria</vt:lpwstr>
      </vt:variant>
      <vt:variant>
        <vt:i4>7536767</vt:i4>
      </vt:variant>
      <vt:variant>
        <vt:i4>42</vt:i4>
      </vt:variant>
      <vt:variant>
        <vt:i4>0</vt:i4>
      </vt:variant>
      <vt:variant>
        <vt:i4>5</vt:i4>
      </vt:variant>
      <vt:variant>
        <vt:lpwstr>https://www3.bcb.gov.br/CALCIDADAO/publico/exibirFormCorrecaoValores.do?method=exibirFormCorrecaoValores&amp;aba=1</vt:lpwstr>
      </vt:variant>
      <vt:variant>
        <vt:lpwstr/>
      </vt:variant>
      <vt:variant>
        <vt:i4>1507414</vt:i4>
      </vt:variant>
      <vt:variant>
        <vt:i4>39</vt:i4>
      </vt:variant>
      <vt:variant>
        <vt:i4>0</vt:i4>
      </vt:variant>
      <vt:variant>
        <vt:i4>5</vt:i4>
      </vt:variant>
      <vt:variant>
        <vt:lpwstr>https://portal.stf.jus.br/processos/detalhe.asp?incidente=4723934</vt:lpwstr>
      </vt:variant>
      <vt:variant>
        <vt:lpwstr/>
      </vt:variant>
      <vt:variant>
        <vt:i4>5832797</vt:i4>
      </vt:variant>
      <vt:variant>
        <vt:i4>36</vt:i4>
      </vt:variant>
      <vt:variant>
        <vt:i4>0</vt:i4>
      </vt:variant>
      <vt:variant>
        <vt:i4>5</vt:i4>
      </vt:variant>
      <vt:variant>
        <vt:lpwstr>https://www.foreffectivegov.org/node/3470</vt:lpwstr>
      </vt:variant>
      <vt:variant>
        <vt:lpwstr/>
      </vt:variant>
      <vt:variant>
        <vt:i4>3801142</vt:i4>
      </vt:variant>
      <vt:variant>
        <vt:i4>33</vt:i4>
      </vt:variant>
      <vt:variant>
        <vt:i4>0</vt:i4>
      </vt:variant>
      <vt:variant>
        <vt:i4>5</vt:i4>
      </vt:variant>
      <vt:variant>
        <vt:lpwstr>https://online.hbs.edu/blog/post/cost-benefit-analysis</vt:lpwstr>
      </vt:variant>
      <vt:variant>
        <vt:lpwstr/>
      </vt:variant>
      <vt:variant>
        <vt:i4>3342450</vt:i4>
      </vt:variant>
      <vt:variant>
        <vt:i4>30</vt:i4>
      </vt:variant>
      <vt:variant>
        <vt:i4>0</vt:i4>
      </vt:variant>
      <vt:variant>
        <vt:i4>5</vt:i4>
      </vt:variant>
      <vt:variant>
        <vt:lpwstr>https://www.cbd.int/convention/parties/contributions.shtml</vt:lpwstr>
      </vt:variant>
      <vt:variant>
        <vt:lpwstr/>
      </vt:variant>
      <vt:variant>
        <vt:i4>3866672</vt:i4>
      </vt:variant>
      <vt:variant>
        <vt:i4>27</vt:i4>
      </vt:variant>
      <vt:variant>
        <vt:i4>0</vt:i4>
      </vt:variant>
      <vt:variant>
        <vt:i4>5</vt:i4>
      </vt:variant>
      <vt:variant>
        <vt:lpwstr>https://www.portaltransparencia.gov.br/</vt:lpwstr>
      </vt:variant>
      <vt:variant>
        <vt:lpwstr/>
      </vt:variant>
      <vt:variant>
        <vt:i4>7078010</vt:i4>
      </vt:variant>
      <vt:variant>
        <vt:i4>24</vt:i4>
      </vt:variant>
      <vt:variant>
        <vt:i4>0</vt:i4>
      </vt:variant>
      <vt:variant>
        <vt:i4>5</vt:i4>
      </vt:variant>
      <vt:variant>
        <vt:lpwstr>http://www.planalto.gov.br/ccivil_03/_ato2011-2014/2011/lei/l12527.htm</vt:lpwstr>
      </vt:variant>
      <vt:variant>
        <vt:lpwstr/>
      </vt:variant>
      <vt:variant>
        <vt:i4>327758</vt:i4>
      </vt:variant>
      <vt:variant>
        <vt:i4>21</vt:i4>
      </vt:variant>
      <vt:variant>
        <vt:i4>0</vt:i4>
      </vt:variant>
      <vt:variant>
        <vt:i4>5</vt:i4>
      </vt:variant>
      <vt:variant>
        <vt:lpwstr>http://www.planalto.gov.br/ccivil_03/_ato2015-2018/2016/decreto/d8772.htm</vt:lpwstr>
      </vt:variant>
      <vt:variant>
        <vt:lpwstr/>
      </vt:variant>
      <vt:variant>
        <vt:i4>4718662</vt:i4>
      </vt:variant>
      <vt:variant>
        <vt:i4>18</vt:i4>
      </vt:variant>
      <vt:variant>
        <vt:i4>0</vt:i4>
      </vt:variant>
      <vt:variant>
        <vt:i4>5</vt:i4>
      </vt:variant>
      <vt:variant>
        <vt:lpwstr>https://sisgen.gov.br/paginas/login.aspx</vt:lpwstr>
      </vt:variant>
      <vt:variant>
        <vt:lpwstr/>
      </vt:variant>
      <vt:variant>
        <vt:i4>6291579</vt:i4>
      </vt:variant>
      <vt:variant>
        <vt:i4>15</vt:i4>
      </vt:variant>
      <vt:variant>
        <vt:i4>0</vt:i4>
      </vt:variant>
      <vt:variant>
        <vt:i4>5</vt:i4>
      </vt:variant>
      <vt:variant>
        <vt:lpwstr>http://www.planalto.gov.br/CCIVIL_03/_Ato2015-2018/2015/Lei/L13123.htm</vt:lpwstr>
      </vt:variant>
      <vt:variant>
        <vt:lpwstr/>
      </vt:variant>
      <vt:variant>
        <vt:i4>3276888</vt:i4>
      </vt:variant>
      <vt:variant>
        <vt:i4>12</vt:i4>
      </vt:variant>
      <vt:variant>
        <vt:i4>0</vt:i4>
      </vt:variant>
      <vt:variant>
        <vt:i4>5</vt:i4>
      </vt:variant>
      <vt:variant>
        <vt:lpwstr>http://www.planalto.gov.br/ccivil_03/MPV/2186-16.htm</vt:lpwstr>
      </vt:variant>
      <vt:variant>
        <vt:lpwstr/>
      </vt:variant>
      <vt:variant>
        <vt:i4>4587614</vt:i4>
      </vt:variant>
      <vt:variant>
        <vt:i4>9</vt:i4>
      </vt:variant>
      <vt:variant>
        <vt:i4>0</vt:i4>
      </vt:variant>
      <vt:variant>
        <vt:i4>5</vt:i4>
      </vt:variant>
      <vt:variant>
        <vt:lpwstr>https://www.cbd.int/information/parties.shtml</vt:lpwstr>
      </vt:variant>
      <vt:variant>
        <vt:lpwstr/>
      </vt:variant>
      <vt:variant>
        <vt:i4>6094974</vt:i4>
      </vt:variant>
      <vt:variant>
        <vt:i4>6</vt:i4>
      </vt:variant>
      <vt:variant>
        <vt:i4>0</vt:i4>
      </vt:variant>
      <vt:variant>
        <vt:i4>5</vt:i4>
      </vt:variant>
      <vt:variant>
        <vt:lpwstr>http://www.planalto.gov.br/ccivil_03/decreto/d2519.htm</vt:lpwstr>
      </vt:variant>
      <vt:variant>
        <vt:lpwstr/>
      </vt:variant>
      <vt:variant>
        <vt:i4>3473449</vt:i4>
      </vt:variant>
      <vt:variant>
        <vt:i4>3</vt:i4>
      </vt:variant>
      <vt:variant>
        <vt:i4>0</vt:i4>
      </vt:variant>
      <vt:variant>
        <vt:i4>5</vt:i4>
      </vt:variant>
      <vt:variant>
        <vt:lpwstr>https://www.cbd.int/Convention</vt:lpwstr>
      </vt:variant>
      <vt:variant>
        <vt:lpwstr/>
      </vt:variant>
      <vt:variant>
        <vt:i4>1966095</vt:i4>
      </vt:variant>
      <vt:variant>
        <vt:i4>0</vt:i4>
      </vt:variant>
      <vt:variant>
        <vt:i4>0</vt:i4>
      </vt:variant>
      <vt:variant>
        <vt:i4>5</vt:i4>
      </vt:variant>
      <vt:variant>
        <vt:lpwstr>https://www.un.org/en/conferences/environment/rio1992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2022-12-05T05:21:00Z</dcterms:created>
  <dcterms:modified xsi:type="dcterms:W3CDTF">2022-12-05T05:21:00Z</dcterms:modified>
</cp:coreProperties>
</file>